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385"/>
        <w:gridCol w:w="4405"/>
      </w:tblGrid>
      <w:tr w:rsidR="00A644A1" w:rsidRPr="003026F3" w14:paraId="46ECBF6D" w14:textId="77777777" w:rsidTr="00A644A1">
        <w:trPr>
          <w:trHeight w:val="1700"/>
        </w:trPr>
        <w:tc>
          <w:tcPr>
            <w:tcW w:w="10790" w:type="dxa"/>
            <w:gridSpan w:val="2"/>
          </w:tcPr>
          <w:p w14:paraId="09500EB3" w14:textId="7FBB335F" w:rsidR="00A644A1" w:rsidRDefault="00A644A1" w:rsidP="00266AF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1B64">
              <w:rPr>
                <w:rFonts w:cstheme="minorHAnsi"/>
                <w:b/>
                <w:sz w:val="32"/>
                <w:szCs w:val="32"/>
              </w:rPr>
              <w:t xml:space="preserve">Metadata: </w:t>
            </w:r>
            <w:r w:rsidR="009361E0">
              <w:rPr>
                <w:rFonts w:cstheme="minorHAnsi"/>
                <w:b/>
                <w:sz w:val="32"/>
                <w:szCs w:val="32"/>
              </w:rPr>
              <w:t>Passaic Valley Sewerage Commission</w:t>
            </w:r>
          </w:p>
          <w:p w14:paraId="48BD3D72" w14:textId="433C64B7" w:rsidR="00266AFE" w:rsidRPr="00241B64" w:rsidRDefault="00266AFE" w:rsidP="00266AF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85AFF9" wp14:editId="38F3AF4B">
                  <wp:simplePos x="0" y="0"/>
                  <wp:positionH relativeFrom="column">
                    <wp:posOffset>4938395</wp:posOffset>
                  </wp:positionH>
                  <wp:positionV relativeFrom="paragraph">
                    <wp:posOffset>38735</wp:posOffset>
                  </wp:positionV>
                  <wp:extent cx="1742113" cy="861728"/>
                  <wp:effectExtent l="0" t="0" r="0" b="0"/>
                  <wp:wrapNone/>
                  <wp:docPr id="1" name="Picture 3" descr="C:\HRECOS\HRECOS_logo.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HRECOS\HRECOS_logo.smal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113" cy="86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F3B040" w14:textId="7E92FD67" w:rsidR="00A644A1" w:rsidRDefault="00A644A1" w:rsidP="001C20BB">
            <w:pPr>
              <w:rPr>
                <w:rFonts w:cstheme="minorHAnsi"/>
              </w:rPr>
            </w:pPr>
            <w:r w:rsidRPr="005A6853">
              <w:rPr>
                <w:rFonts w:cstheme="minorHAnsi"/>
                <w:b/>
              </w:rPr>
              <w:t xml:space="preserve">Location: </w:t>
            </w:r>
            <w:r w:rsidRPr="005A6853">
              <w:rPr>
                <w:rFonts w:cstheme="minorHAnsi"/>
              </w:rPr>
              <w:t>Passaic Valley Sewerage Commission</w:t>
            </w:r>
          </w:p>
          <w:p w14:paraId="5F50AB56" w14:textId="5607DECD" w:rsidR="00A644A1" w:rsidRDefault="00A644A1" w:rsidP="001C20BB">
            <w:pPr>
              <w:rPr>
                <w:rStyle w:val="Hyperlink"/>
              </w:rPr>
            </w:pPr>
            <w:r w:rsidRPr="005A6853">
              <w:rPr>
                <w:rFonts w:cstheme="minorHAnsi"/>
              </w:rPr>
              <w:t xml:space="preserve">Newark Bay, NJ  </w:t>
            </w:r>
            <w:r>
              <w:rPr>
                <w:rFonts w:cstheme="minorHAnsi"/>
              </w:rPr>
              <w:t>(</w:t>
            </w:r>
            <w:hyperlink r:id="rId11" w:history="1">
              <w:r w:rsidRPr="005A6853">
                <w:rPr>
                  <w:rStyle w:val="Hyperlink"/>
                  <w:rFonts w:cstheme="minorHAnsi"/>
                </w:rPr>
                <w:t>40.713239, -74.123086</w:t>
              </w:r>
            </w:hyperlink>
            <w:r>
              <w:rPr>
                <w:rStyle w:val="Hyperlink"/>
                <w:rFonts w:cstheme="minorHAnsi"/>
              </w:rPr>
              <w:t>)</w:t>
            </w:r>
          </w:p>
          <w:p w14:paraId="06FB41AE" w14:textId="77777777" w:rsidR="00A644A1" w:rsidRPr="005A6853" w:rsidRDefault="00A644A1" w:rsidP="001C20BB">
            <w:pPr>
              <w:rPr>
                <w:rFonts w:cstheme="minorHAnsi"/>
              </w:rPr>
            </w:pPr>
          </w:p>
          <w:p w14:paraId="34C9F8EE" w14:textId="462C2B14" w:rsidR="00A644A1" w:rsidRDefault="00A644A1" w:rsidP="00043339">
            <w:pPr>
              <w:rPr>
                <w:rFonts w:cstheme="minorHAnsi"/>
              </w:rPr>
            </w:pPr>
            <w:r w:rsidRPr="005A6853">
              <w:rPr>
                <w:rFonts w:cstheme="minorHAnsi"/>
                <w:b/>
              </w:rPr>
              <w:t xml:space="preserve">Data collection period: </w:t>
            </w:r>
            <w:r w:rsidR="00470302">
              <w:rPr>
                <w:rFonts w:cstheme="minorHAnsi"/>
              </w:rPr>
              <w:t>03/13/2014</w:t>
            </w:r>
            <w:r w:rsidRPr="005A6853">
              <w:rPr>
                <w:rFonts w:cstheme="minorHAnsi"/>
              </w:rPr>
              <w:t xml:space="preserve"> – present.</w:t>
            </w:r>
          </w:p>
          <w:p w14:paraId="35B88805" w14:textId="77777777" w:rsidR="00A644A1" w:rsidRPr="005A6853" w:rsidRDefault="00A644A1" w:rsidP="00043339">
            <w:pPr>
              <w:rPr>
                <w:rFonts w:cstheme="minorHAnsi"/>
              </w:rPr>
            </w:pPr>
          </w:p>
          <w:p w14:paraId="6DB153E7" w14:textId="1E255629" w:rsidR="00A644A1" w:rsidRPr="003026F3" w:rsidRDefault="00A644A1" w:rsidP="00A644A1">
            <w:pPr>
              <w:ind w:left="144" w:hanging="144"/>
            </w:pPr>
            <w:r w:rsidRPr="039DEFF5">
              <w:rPr>
                <w:b/>
                <w:bCs/>
              </w:rPr>
              <w:t xml:space="preserve">Parameters: </w:t>
            </w:r>
            <w:r w:rsidRPr="039DEFF5">
              <w:t>acidity, water depth, dissolved oxygen, specific conductance, salinity, turbidity, and water temperature.</w:t>
            </w:r>
          </w:p>
        </w:tc>
      </w:tr>
      <w:tr w:rsidR="004C2D8D" w:rsidRPr="003026F3" w14:paraId="71DD162A" w14:textId="77777777" w:rsidTr="039DEFF5">
        <w:trPr>
          <w:trHeight w:val="2465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37891D7" w14:textId="48F4E66E" w:rsidR="004C2D8D" w:rsidRPr="00A644A1" w:rsidRDefault="004C2D8D" w:rsidP="00A27A11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44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Disclaimer:</w:t>
            </w:r>
            <w:r w:rsidRPr="005A6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644A1">
              <w:rPr>
                <w:rFonts w:asciiTheme="minorHAnsi" w:hAnsiTheme="minorHAnsi" w:cstheme="minorHAnsi"/>
                <w:iCs/>
                <w:sz w:val="22"/>
                <w:szCs w:val="22"/>
              </w:rPr>
              <w:t>HRECOS is a research project. No warranty—either express or implied—is made for any information presented by this program.</w:t>
            </w:r>
          </w:p>
          <w:p w14:paraId="437FA565" w14:textId="77777777" w:rsidR="00E05EAE" w:rsidRPr="005A6853" w:rsidRDefault="00E05EAE" w:rsidP="00E05EAE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5A6853">
              <w:rPr>
                <w:rFonts w:asciiTheme="minorHAnsi" w:hAnsiTheme="minorHAnsi" w:cstheme="minorHAnsi"/>
                <w:sz w:val="22"/>
                <w:szCs w:val="22"/>
              </w:rPr>
              <w:t xml:space="preserve">This project was funded by an agreement awarded by the Environmental Protection Agency to the New England Interstate Water Pollution Control Commission (NEIWPCC) in partnership with the New York-New Jersey Harbor &amp; Estuary Program. </w:t>
            </w:r>
          </w:p>
          <w:p w14:paraId="12F8E7B0" w14:textId="66E690BB" w:rsidR="00776AD1" w:rsidRPr="005A6853" w:rsidRDefault="003202BF" w:rsidP="42A74B55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Bidi"/>
                <w:sz w:val="22"/>
                <w:szCs w:val="22"/>
              </w:rPr>
            </w:pPr>
            <w:r w:rsidRPr="42A74B55">
              <w:rPr>
                <w:rFonts w:asciiTheme="minorHAnsi" w:hAnsiTheme="minorHAnsi" w:cstheme="minorBidi"/>
                <w:sz w:val="22"/>
                <w:szCs w:val="22"/>
              </w:rPr>
              <w:t xml:space="preserve">Researchers interested in accessing </w:t>
            </w:r>
            <w:r w:rsidR="006667EA" w:rsidRPr="42A74B55">
              <w:rPr>
                <w:rFonts w:asciiTheme="minorHAnsi" w:hAnsiTheme="minorHAnsi" w:cstheme="minorBidi"/>
                <w:sz w:val="22"/>
                <w:szCs w:val="22"/>
              </w:rPr>
              <w:t>this</w:t>
            </w:r>
            <w:r w:rsidRPr="42A74B55">
              <w:rPr>
                <w:rFonts w:asciiTheme="minorHAnsi" w:hAnsiTheme="minorHAnsi" w:cstheme="minorBidi"/>
                <w:sz w:val="22"/>
                <w:szCs w:val="22"/>
              </w:rPr>
              <w:t xml:space="preserve"> station to</w:t>
            </w:r>
            <w:r w:rsidR="006667EA" w:rsidRPr="42A74B55">
              <w:rPr>
                <w:rFonts w:asciiTheme="minorHAnsi" w:hAnsiTheme="minorHAnsi" w:cstheme="minorBidi"/>
                <w:sz w:val="22"/>
                <w:szCs w:val="22"/>
              </w:rPr>
              <w:t xml:space="preserve"> co-locate monitoring equipment </w:t>
            </w:r>
            <w:r w:rsidR="00E05EAE" w:rsidRPr="42A74B55">
              <w:rPr>
                <w:rFonts w:asciiTheme="minorHAnsi" w:hAnsiTheme="minorHAnsi" w:cstheme="minorBidi"/>
                <w:sz w:val="22"/>
                <w:szCs w:val="22"/>
              </w:rPr>
              <w:t>should contact</w:t>
            </w:r>
            <w:r w:rsidRPr="42A74B5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05EAE" w:rsidRPr="42A74B55">
              <w:rPr>
                <w:rFonts w:asciiTheme="minorHAnsi" w:hAnsiTheme="minorHAnsi" w:cstheme="minorBidi"/>
                <w:sz w:val="22"/>
                <w:szCs w:val="22"/>
              </w:rPr>
              <w:t>the station manage</w:t>
            </w:r>
            <w:r w:rsidR="1CE1CCE3" w:rsidRPr="42A74B55">
              <w:rPr>
                <w:rFonts w:asciiTheme="minorHAnsi" w:hAnsiTheme="minorHAnsi" w:cstheme="minorBidi"/>
                <w:sz w:val="22"/>
                <w:szCs w:val="22"/>
              </w:rPr>
              <w:t>r.</w:t>
            </w:r>
          </w:p>
        </w:tc>
      </w:tr>
      <w:tr w:rsidR="003202BF" w:rsidRPr="003026F3" w14:paraId="5CFDAFEF" w14:textId="77777777" w:rsidTr="00A644A1">
        <w:tc>
          <w:tcPr>
            <w:tcW w:w="6385" w:type="dxa"/>
            <w:tcBorders>
              <w:right w:val="nil"/>
            </w:tcBorders>
          </w:tcPr>
          <w:p w14:paraId="49A8312F" w14:textId="77777777" w:rsidR="003202BF" w:rsidRPr="003026F3" w:rsidRDefault="003202BF" w:rsidP="008C65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026F3">
              <w:rPr>
                <w:rFonts w:cstheme="minorHAnsi"/>
                <w:b/>
                <w:sz w:val="24"/>
                <w:szCs w:val="24"/>
              </w:rPr>
              <w:t>Contacts</w:t>
            </w:r>
            <w:r w:rsidRPr="003026F3">
              <w:rPr>
                <w:rFonts w:cstheme="minorHAnsi"/>
                <w:sz w:val="24"/>
                <w:szCs w:val="24"/>
              </w:rPr>
              <w:t>:</w:t>
            </w:r>
          </w:p>
          <w:p w14:paraId="5473AF84" w14:textId="7E2073D2" w:rsidR="00DD7B3E" w:rsidRPr="00DD7B3E" w:rsidRDefault="7B4144AF" w:rsidP="42A74B55">
            <w:pPr>
              <w:ind w:left="540"/>
            </w:pPr>
            <w:r w:rsidRPr="42A74B55">
              <w:t>Brittney Flaten</w:t>
            </w:r>
            <w:r w:rsidR="00DD7B3E" w:rsidRPr="42A74B55">
              <w:t>, HRECOS Coordinator</w:t>
            </w:r>
          </w:p>
          <w:p w14:paraId="752133D1" w14:textId="77777777" w:rsidR="00DD7B3E" w:rsidRPr="00DD7B3E" w:rsidRDefault="00DD7B3E" w:rsidP="00DD7B3E">
            <w:pPr>
              <w:ind w:left="540"/>
              <w:rPr>
                <w:rFonts w:cstheme="minorHAnsi"/>
              </w:rPr>
            </w:pPr>
            <w:r w:rsidRPr="42A74B55">
              <w:t>NY State Dept. of Environmental Conservation</w:t>
            </w:r>
          </w:p>
          <w:p w14:paraId="14CEE5CA" w14:textId="691BE541" w:rsidR="167B367F" w:rsidRDefault="167B367F" w:rsidP="00A644A1">
            <w:pPr>
              <w:spacing w:line="276" w:lineRule="auto"/>
              <w:ind w:left="540"/>
            </w:pPr>
            <w:r w:rsidRPr="42A74B55">
              <w:t>256 Norrie Point Way, Staatsburg, NY 12580</w:t>
            </w:r>
          </w:p>
          <w:p w14:paraId="11C27EC3" w14:textId="64EAA656" w:rsidR="00DD7B3E" w:rsidRPr="00DD7B3E" w:rsidRDefault="00DD7B3E" w:rsidP="00A644A1">
            <w:pPr>
              <w:tabs>
                <w:tab w:val="left" w:pos="3165"/>
              </w:tabs>
              <w:ind w:left="540"/>
            </w:pPr>
            <w:r w:rsidRPr="42A74B55">
              <w:t xml:space="preserve">Phone: </w:t>
            </w:r>
            <w:r w:rsidR="6CE6751A" w:rsidRPr="42A74B55">
              <w:t>845-889-4745</w:t>
            </w:r>
            <w:r>
              <w:tab/>
            </w:r>
          </w:p>
          <w:p w14:paraId="6D85A8CC" w14:textId="72190D1A" w:rsidR="003202BF" w:rsidRPr="00E24BA3" w:rsidRDefault="00DD7B3E" w:rsidP="42A74B55">
            <w:pPr>
              <w:ind w:left="540"/>
            </w:pPr>
            <w:r w:rsidRPr="42A74B55">
              <w:t xml:space="preserve">Email: </w:t>
            </w:r>
            <w:proofErr w:type="spellStart"/>
            <w:proofErr w:type="gramStart"/>
            <w:r w:rsidR="03D90DF1" w:rsidRPr="42A74B55">
              <w:t>brittney.flaten</w:t>
            </w:r>
            <w:proofErr w:type="spellEnd"/>
            <w:proofErr w:type="gramEnd"/>
            <w:r w:rsidR="03D90DF1" w:rsidRPr="42A74B55">
              <w:t xml:space="preserve"> </w:t>
            </w:r>
            <w:r w:rsidRPr="42A74B55">
              <w:t>[at] dec.ny.gov</w:t>
            </w:r>
          </w:p>
        </w:tc>
        <w:tc>
          <w:tcPr>
            <w:tcW w:w="4405" w:type="dxa"/>
            <w:tcBorders>
              <w:left w:val="nil"/>
            </w:tcBorders>
          </w:tcPr>
          <w:p w14:paraId="59C2D47A" w14:textId="77777777" w:rsidR="00A644A1" w:rsidRDefault="00A644A1" w:rsidP="42A74B55"/>
          <w:p w14:paraId="72F3D36E" w14:textId="6F84EE9C" w:rsidR="00DD7B3E" w:rsidRPr="005A6853" w:rsidRDefault="4D048395" w:rsidP="42A74B55">
            <w:proofErr w:type="spellStart"/>
            <w:r w:rsidRPr="42A74B55">
              <w:t>Rusbel</w:t>
            </w:r>
            <w:proofErr w:type="spellEnd"/>
            <w:r w:rsidRPr="42A74B55">
              <w:t xml:space="preserve"> Hernandez</w:t>
            </w:r>
            <w:r w:rsidR="00DD7B3E" w:rsidRPr="42A74B55">
              <w:t>, Station Manager</w:t>
            </w:r>
          </w:p>
          <w:p w14:paraId="0F03154E" w14:textId="77777777" w:rsidR="00DD7B3E" w:rsidRPr="005A6853" w:rsidRDefault="00DD7B3E" w:rsidP="42A74B55">
            <w:r w:rsidRPr="42A74B55">
              <w:t>Passaic Valley Sewerage Commission</w:t>
            </w:r>
          </w:p>
          <w:p w14:paraId="04550C02" w14:textId="77777777" w:rsidR="00DD7B3E" w:rsidRPr="005A6853" w:rsidRDefault="00DD7B3E" w:rsidP="42A74B55">
            <w:r w:rsidRPr="42A74B55">
              <w:t>600 Wilson Avenue, Newark, NJ 07105</w:t>
            </w:r>
          </w:p>
          <w:p w14:paraId="03CE5684" w14:textId="5939CB3F" w:rsidR="00DD7B3E" w:rsidRPr="005A6853" w:rsidRDefault="0D782957" w:rsidP="42A74B55">
            <w:r w:rsidRPr="42A74B55">
              <w:t xml:space="preserve">Email: </w:t>
            </w:r>
            <w:proofErr w:type="spellStart"/>
            <w:r w:rsidRPr="42A74B55">
              <w:t>r</w:t>
            </w:r>
            <w:r w:rsidR="5F9A476E" w:rsidRPr="42A74B55">
              <w:t>hernandez</w:t>
            </w:r>
            <w:proofErr w:type="spellEnd"/>
            <w:r w:rsidRPr="42A74B55">
              <w:t xml:space="preserve"> [at] pvsc.nj.gov</w:t>
            </w:r>
          </w:p>
          <w:p w14:paraId="4DBA64D2" w14:textId="126542A0" w:rsidR="00DD7B3E" w:rsidRPr="005A6853" w:rsidRDefault="00DD7B3E" w:rsidP="42A74B55">
            <w:pPr>
              <w:tabs>
                <w:tab w:val="left" w:pos="3090"/>
              </w:tabs>
            </w:pPr>
          </w:p>
          <w:p w14:paraId="4BA6E721" w14:textId="77777777" w:rsidR="003202BF" w:rsidRPr="005A6853" w:rsidRDefault="003202BF" w:rsidP="0072457C">
            <w:pPr>
              <w:ind w:left="540"/>
              <w:rPr>
                <w:rFonts w:cstheme="minorHAnsi"/>
              </w:rPr>
            </w:pPr>
          </w:p>
        </w:tc>
      </w:tr>
      <w:tr w:rsidR="0018590C" w:rsidRPr="003026F3" w14:paraId="5940BD40" w14:textId="77777777" w:rsidTr="039DEFF5">
        <w:tc>
          <w:tcPr>
            <w:tcW w:w="10790" w:type="dxa"/>
            <w:gridSpan w:val="2"/>
          </w:tcPr>
          <w:p w14:paraId="446BE34A" w14:textId="54FF3A1C" w:rsidR="008B7E10" w:rsidRPr="005A6853" w:rsidRDefault="00880C6C" w:rsidP="008B7E10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Station details</w:t>
            </w:r>
            <w:r w:rsidR="0018590C" w:rsidRPr="005A6853">
              <w:rPr>
                <w:rFonts w:cstheme="minorHAnsi"/>
                <w:b/>
              </w:rPr>
              <w:t>:</w:t>
            </w:r>
          </w:p>
          <w:p w14:paraId="3D149263" w14:textId="061EC014" w:rsidR="005A6853" w:rsidRPr="005A6853" w:rsidRDefault="00FC13AA" w:rsidP="00E97E2E">
            <w:pPr>
              <w:spacing w:after="120"/>
              <w:ind w:left="540"/>
            </w:pPr>
            <w:r w:rsidRPr="42A74B55">
              <w:t xml:space="preserve">The hydrologic station is located at the north end of </w:t>
            </w:r>
            <w:r w:rsidR="00CE5605" w:rsidRPr="42A74B55">
              <w:t xml:space="preserve">the </w:t>
            </w:r>
            <w:r w:rsidRPr="42A74B55">
              <w:t xml:space="preserve">PVSC dock </w:t>
            </w:r>
            <w:r w:rsidR="00FC36B5" w:rsidRPr="42A74B55">
              <w:t>on the Kearny Point Reach of the</w:t>
            </w:r>
            <w:r w:rsidRPr="42A74B55">
              <w:t xml:space="preserve"> Passaic River</w:t>
            </w:r>
            <w:r>
              <w:t>, adjacent to “USGS Tide Gage 01392650 Passaic River at PVSC at Newark NJ”.  A YSI EXO2 water quality sonde measures dissolved oxygen, pH, specific conductance, salinity, turbidity, depth, and water temperature every 15 minutes.  The sonde is housed in a locked 4” diameter PVSC pipe</w:t>
            </w:r>
            <w:r w:rsidR="00FC36B5">
              <w:t xml:space="preserve"> which is bolted to the concrete sea wall.  The sonde sits on a bolt set across the bottom of the pipe, which is set approximately 1 meter </w:t>
            </w:r>
            <w:r w:rsidR="00A85DFF">
              <w:t>above</w:t>
            </w:r>
            <w:r w:rsidR="00FC36B5">
              <w:t xml:space="preserve"> the bottom of the river.  The bottom 2 feet of the pipe is perforated with numerous holes to allow free water flow past the sensors.  Data is recorded by a CR200 datalogger and transmitted to the HRECOS database </w:t>
            </w:r>
            <w:r w:rsidR="00E97E2E">
              <w:t xml:space="preserve">via </w:t>
            </w:r>
            <w:r w:rsidR="00FC36B5">
              <w:t>cellular modem.</w:t>
            </w:r>
          </w:p>
        </w:tc>
      </w:tr>
      <w:tr w:rsidR="00880C6C" w:rsidRPr="003026F3" w14:paraId="6D3EC42E" w14:textId="77777777" w:rsidTr="039DEFF5">
        <w:tc>
          <w:tcPr>
            <w:tcW w:w="10790" w:type="dxa"/>
            <w:gridSpan w:val="2"/>
          </w:tcPr>
          <w:p w14:paraId="7DCFCD87" w14:textId="77777777" w:rsidR="00880C6C" w:rsidRPr="005A6853" w:rsidRDefault="00880C6C" w:rsidP="00880C6C">
            <w:pPr>
              <w:spacing w:after="120"/>
              <w:rPr>
                <w:rFonts w:cstheme="minorHAnsi"/>
              </w:rPr>
            </w:pPr>
            <w:r w:rsidRPr="005A6853">
              <w:rPr>
                <w:rFonts w:cstheme="minorHAnsi"/>
                <w:b/>
              </w:rPr>
              <w:t>Distribution terms:</w:t>
            </w:r>
          </w:p>
          <w:p w14:paraId="27045BB4" w14:textId="280CB419" w:rsidR="00880C6C" w:rsidRPr="005A6853" w:rsidRDefault="00880C6C" w:rsidP="00880C6C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A6853">
              <w:rPr>
                <w:rFonts w:asciiTheme="minorHAnsi" w:hAnsiTheme="minorHAnsi" w:cstheme="minorHAnsi"/>
                <w:sz w:val="22"/>
                <w:szCs w:val="22"/>
              </w:rPr>
              <w:t>HRECOS requests that attribution be given whenever HRECOS material is reproduced and re-disseminated and the HRECOS Coordinator be notified prior to publications including any part of the data. Example citation: “Hudson River Environmental Conditions Observing System. 2014. Passaic River Hydrologic Station data. Accessed April 13</w:t>
            </w:r>
            <w:r w:rsidRPr="005A68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A6853">
              <w:rPr>
                <w:rFonts w:asciiTheme="minorHAnsi" w:hAnsiTheme="minorHAnsi" w:cstheme="minorHAnsi"/>
                <w:sz w:val="22"/>
                <w:szCs w:val="22"/>
              </w:rPr>
              <w:t xml:space="preserve">, 2014. </w:t>
            </w:r>
            <w:hyperlink r:id="rId12" w:history="1">
              <w:r w:rsidRPr="005A68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http://www.hrecos.org/</w:t>
              </w:r>
            </w:hyperlink>
            <w:r w:rsidRPr="005A6853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</w:tc>
      </w:tr>
      <w:tr w:rsidR="00880C6C" w:rsidRPr="003026F3" w14:paraId="61787A4F" w14:textId="77777777" w:rsidTr="039DEFF5">
        <w:tc>
          <w:tcPr>
            <w:tcW w:w="10790" w:type="dxa"/>
            <w:gridSpan w:val="2"/>
          </w:tcPr>
          <w:p w14:paraId="0257A16F" w14:textId="77777777" w:rsidR="00880C6C" w:rsidRPr="005A6853" w:rsidRDefault="00880C6C" w:rsidP="00880C6C">
            <w:pPr>
              <w:spacing w:after="120"/>
              <w:rPr>
                <w:rFonts w:cstheme="minorHAnsi"/>
                <w:b/>
              </w:rPr>
            </w:pPr>
            <w:r w:rsidRPr="005A6853">
              <w:rPr>
                <w:rFonts w:cstheme="minorHAnsi"/>
                <w:b/>
              </w:rPr>
              <w:t>Data Quality Assurance:</w:t>
            </w:r>
          </w:p>
          <w:p w14:paraId="4F4692BF" w14:textId="76D8C250" w:rsidR="00880C6C" w:rsidRPr="005A6853" w:rsidRDefault="00880C6C" w:rsidP="00880C6C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39DEFF5">
              <w:rPr>
                <w:rFonts w:asciiTheme="minorHAnsi" w:hAnsiTheme="minorHAnsi" w:cstheme="minorBidi"/>
                <w:sz w:val="22"/>
                <w:szCs w:val="22"/>
              </w:rPr>
              <w:t xml:space="preserve">Data collection and verification have been performed since the establishment of this station according to the HRECOS Quality Assurance Project Plan, which is available at </w:t>
            </w:r>
            <w:hyperlink r:id="rId13">
              <w:r w:rsidRPr="039DEFF5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www.hrecos.org.</w:t>
              </w:r>
            </w:hyperlink>
            <w:r w:rsidRPr="039DEFF5">
              <w:rPr>
                <w:rFonts w:asciiTheme="minorHAnsi" w:hAnsiTheme="minorHAnsi" w:cstheme="minorBidi"/>
                <w:sz w:val="22"/>
                <w:szCs w:val="22"/>
              </w:rPr>
              <w:t xml:space="preserve">  See the following pages for comment code definitions.</w:t>
            </w:r>
          </w:p>
        </w:tc>
      </w:tr>
      <w:tr w:rsidR="00665343" w:rsidRPr="003026F3" w14:paraId="65B6D973" w14:textId="77777777" w:rsidTr="039DEFF5">
        <w:tc>
          <w:tcPr>
            <w:tcW w:w="10790" w:type="dxa"/>
            <w:gridSpan w:val="2"/>
          </w:tcPr>
          <w:p w14:paraId="32C108BD" w14:textId="77777777" w:rsidR="00665343" w:rsidRPr="009A3D1E" w:rsidRDefault="00665343" w:rsidP="0066534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026F3">
              <w:rPr>
                <w:rFonts w:asciiTheme="minorHAnsi" w:hAnsiTheme="minorHAnsi" w:cstheme="minorHAnsi"/>
                <w:b/>
                <w:bCs/>
              </w:rPr>
              <w:t xml:space="preserve">QAQC Comment Code definitions: </w:t>
            </w:r>
          </w:p>
          <w:p w14:paraId="32790D15" w14:textId="77777777" w:rsidR="00665343" w:rsidRPr="00276679" w:rsidRDefault="00665343" w:rsidP="00665343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 Errors</w:t>
            </w:r>
          </w:p>
          <w:p w14:paraId="68F7B0F9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[GIM]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malfunction </w:t>
            </w:r>
          </w:p>
          <w:p w14:paraId="014D3234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GIT]   </w:t>
            </w:r>
            <w:proofErr w:type="gramEnd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recording error, recovered telemetry data </w:t>
            </w:r>
          </w:p>
          <w:p w14:paraId="098B9E08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[GMC]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maintenance/calibration </w:t>
            </w:r>
          </w:p>
          <w:p w14:paraId="4C3A41AB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GPF]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power failure/low battery </w:t>
            </w:r>
          </w:p>
          <w:p w14:paraId="71F61B44" w14:textId="77777777" w:rsidR="00665343" w:rsidRPr="00276679" w:rsidRDefault="00665343" w:rsidP="00665343">
            <w:pPr>
              <w:tabs>
                <w:tab w:val="left" w:pos="1620"/>
              </w:tabs>
              <w:ind w:left="720"/>
            </w:pPr>
            <w:r w:rsidRPr="619A3A90">
              <w:lastRenderedPageBreak/>
              <w:t>[</w:t>
            </w:r>
            <w:proofErr w:type="gramStart"/>
            <w:r w:rsidRPr="619A3A90">
              <w:t xml:space="preserve">GQR]   </w:t>
            </w:r>
            <w:proofErr w:type="gramEnd"/>
            <w:r>
              <w:tab/>
            </w:r>
            <w:r w:rsidRPr="619A3A90">
              <w:t>rejected due to QAQC checks</w:t>
            </w:r>
          </w:p>
          <w:p w14:paraId="0980F5A5" w14:textId="77777777" w:rsidR="00665343" w:rsidRPr="00276679" w:rsidRDefault="00665343" w:rsidP="00665343">
            <w:pPr>
              <w:tabs>
                <w:tab w:val="left" w:pos="1620"/>
              </w:tabs>
              <w:ind w:left="720"/>
            </w:pPr>
            <w:r w:rsidRPr="619A3A90">
              <w:t xml:space="preserve">[GSM] </w:t>
            </w:r>
            <w:r>
              <w:tab/>
            </w:r>
            <w:r w:rsidRPr="619A3A90">
              <w:t xml:space="preserve">see metadata </w:t>
            </w:r>
          </w:p>
          <w:p w14:paraId="335C6AD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ice </w:t>
            </w:r>
          </w:p>
          <w:p w14:paraId="7B7AD6BF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[GNF]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deployment tube clogged/no flow </w:t>
            </w:r>
          </w:p>
          <w:p w14:paraId="328D6323" w14:textId="77777777" w:rsidR="00665343" w:rsidRPr="00276679" w:rsidRDefault="00665343" w:rsidP="00665343">
            <w:pPr>
              <w:tabs>
                <w:tab w:val="left" w:pos="1620"/>
              </w:tabs>
              <w:ind w:left="720"/>
            </w:pPr>
            <w:r w:rsidRPr="619A3A90">
              <w:t xml:space="preserve">[GOW] </w:t>
            </w:r>
            <w:r>
              <w:tab/>
            </w:r>
            <w:r w:rsidRPr="619A3A90">
              <w:t>out of water event</w:t>
            </w:r>
          </w:p>
          <w:p w14:paraId="7520F207" w14:textId="77777777" w:rsidR="00665343" w:rsidRPr="00276679" w:rsidRDefault="00665343" w:rsidP="00665343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Sensor Errors </w:t>
            </w:r>
          </w:p>
          <w:p w14:paraId="0BF1FF37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[SBO]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blocked optic </w:t>
            </w:r>
          </w:p>
          <w:p w14:paraId="5DD8A071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catastrophic temperature sensor failure </w:t>
            </w:r>
          </w:p>
          <w:p w14:paraId="5A90097B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[SCF]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conductivity sensor failure </w:t>
            </w:r>
          </w:p>
          <w:p w14:paraId="62C8AC3E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port frozen </w:t>
            </w:r>
          </w:p>
          <w:p w14:paraId="4784AA54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[SDP]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membrane puncture </w:t>
            </w:r>
          </w:p>
          <w:p w14:paraId="4787304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suspect </w:t>
            </w:r>
          </w:p>
          <w:p w14:paraId="2853225A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incorrect calibration/contaminated standard </w:t>
            </w:r>
          </w:p>
          <w:p w14:paraId="1859B063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[SNV]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negative value </w:t>
            </w:r>
          </w:p>
          <w:p w14:paraId="43D089B3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[SPC]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post calibration out of range </w:t>
            </w:r>
          </w:p>
          <w:p w14:paraId="323F79A9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[SSD]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drift </w:t>
            </w:r>
          </w:p>
          <w:p w14:paraId="482B15DF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malfunction </w:t>
            </w:r>
          </w:p>
          <w:p w14:paraId="37F2DECF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[SOW]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out of water </w:t>
            </w:r>
          </w:p>
          <w:p w14:paraId="7B5A7A05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[SSR]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removed (not deployed) </w:t>
            </w:r>
          </w:p>
          <w:p w14:paraId="59081550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[STS]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262695E0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[SWM]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wiper malfunction/loss </w:t>
            </w:r>
          </w:p>
          <w:p w14:paraId="315076DC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6ECB08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Comments </w:t>
            </w:r>
          </w:p>
          <w:p w14:paraId="713C5C37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algal bloom </w:t>
            </w:r>
          </w:p>
          <w:p w14:paraId="33AAA6E3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(CAF)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acceptable calibration/accuracy error of sensor </w:t>
            </w:r>
          </w:p>
          <w:p w14:paraId="34D12483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sensor in water, affected by atmospheric pressure </w:t>
            </w:r>
          </w:p>
          <w:p w14:paraId="56728B75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(CBF)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biofouling </w:t>
            </w:r>
          </w:p>
          <w:p w14:paraId="035CE77E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(CCU)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cause unknown </w:t>
            </w:r>
          </w:p>
          <w:p w14:paraId="1E29740A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(CDA)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hypoxia &lt; 28 percent saturation </w:t>
            </w:r>
          </w:p>
          <w:p w14:paraId="37555E01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disturbed bottom </w:t>
            </w:r>
          </w:p>
          <w:p w14:paraId="610412F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appear to fit conditions </w:t>
            </w:r>
          </w:p>
          <w:p w14:paraId="7457ABCC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(CFK)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fish kill </w:t>
            </w:r>
          </w:p>
          <w:p w14:paraId="6266A1CD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(CIP)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surface ice present at sample station </w:t>
            </w:r>
          </w:p>
          <w:p w14:paraId="165A168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(CLT)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low tide </w:t>
            </w:r>
          </w:p>
          <w:p w14:paraId="191E355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(CMC)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 field maintenance/cleaning </w:t>
            </w:r>
          </w:p>
          <w:p w14:paraId="36F05831" w14:textId="77777777" w:rsidR="00665343" w:rsidRPr="00276679" w:rsidRDefault="00665343" w:rsidP="00665343">
            <w:pPr>
              <w:ind w:firstLine="720"/>
            </w:pPr>
            <w:r w:rsidRPr="619A3A90">
              <w:t>(</w:t>
            </w:r>
            <w:proofErr w:type="gramStart"/>
            <w:r w:rsidRPr="619A3A90">
              <w:t xml:space="preserve">CMD)   </w:t>
            </w:r>
            <w:proofErr w:type="gramEnd"/>
            <w:r w:rsidRPr="619A3A90">
              <w:t xml:space="preserve">  mud in probe guard</w:t>
            </w:r>
          </w:p>
          <w:p w14:paraId="3D741BA1" w14:textId="77777777" w:rsidR="00665343" w:rsidRPr="00276679" w:rsidRDefault="00665343" w:rsidP="00665343">
            <w:pPr>
              <w:ind w:firstLine="720"/>
            </w:pPr>
            <w:r w:rsidRPr="619A3A90">
              <w:t xml:space="preserve">(CND) </w:t>
            </w:r>
            <w:r>
              <w:tab/>
            </w:r>
            <w:r w:rsidRPr="619A3A90">
              <w:t xml:space="preserve">   new deployment begins </w:t>
            </w:r>
          </w:p>
          <w:p w14:paraId="2A54C270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(CRE) </w:t>
            </w:r>
            <w:r>
              <w:tab/>
            </w: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significant rain event </w:t>
            </w:r>
          </w:p>
          <w:p w14:paraId="10B3F917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(CSM)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see metadata </w:t>
            </w:r>
          </w:p>
          <w:p w14:paraId="636795E2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(CTS)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17EDF797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(CVT)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possible vandalism/tampering </w:t>
            </w:r>
          </w:p>
          <w:p w14:paraId="1F401255" w14:textId="77777777" w:rsidR="00665343" w:rsidRPr="00276679" w:rsidRDefault="00665343" w:rsidP="00665343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(CWD)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collected at wrong depth </w:t>
            </w:r>
          </w:p>
          <w:p w14:paraId="232F3953" w14:textId="780BFC60" w:rsidR="00665343" w:rsidRPr="005A6853" w:rsidRDefault="00665343" w:rsidP="00665343">
            <w:pPr>
              <w:spacing w:after="120"/>
              <w:ind w:left="720"/>
              <w:rPr>
                <w:rFonts w:cstheme="minorHAnsi"/>
                <w:b/>
              </w:rPr>
            </w:pPr>
            <w:r w:rsidRPr="00276679">
              <w:rPr>
                <w:rFonts w:cstheme="minorHAnsi"/>
              </w:rPr>
              <w:t xml:space="preserve">(CWE) </w:t>
            </w:r>
            <w:r w:rsidRPr="00276679">
              <w:rPr>
                <w:rFonts w:cstheme="minorHAnsi"/>
              </w:rPr>
              <w:tab/>
              <w:t>significant weather event</w:t>
            </w:r>
          </w:p>
        </w:tc>
      </w:tr>
    </w:tbl>
    <w:p w14:paraId="65F90921" w14:textId="77777777" w:rsidR="006F5C2D" w:rsidRDefault="006F5C2D" w:rsidP="006F5C2D">
      <w:pPr>
        <w:spacing w:after="0" w:line="240" w:lineRule="auto"/>
        <w:rPr>
          <w:rFonts w:cstheme="minorHAnsi"/>
          <w:sz w:val="24"/>
          <w:szCs w:val="24"/>
        </w:rPr>
        <w:sectPr w:rsidR="006F5C2D" w:rsidSect="006F5C2D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tblpXSpec="center" w:tblpY="1859"/>
        <w:tblW w:w="14195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620"/>
        <w:gridCol w:w="1350"/>
        <w:gridCol w:w="3240"/>
        <w:gridCol w:w="1728"/>
        <w:gridCol w:w="1469"/>
      </w:tblGrid>
      <w:tr w:rsidR="00CC1C5B" w:rsidRPr="005A6853" w14:paraId="6332CBE5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1DE02E6D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lastRenderedPageBreak/>
              <w:t>Parameter</w:t>
            </w:r>
          </w:p>
        </w:tc>
        <w:tc>
          <w:tcPr>
            <w:tcW w:w="1710" w:type="dxa"/>
            <w:vAlign w:val="center"/>
          </w:tcPr>
          <w:p w14:paraId="3C61D39B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30" w:type="dxa"/>
            <w:vAlign w:val="center"/>
          </w:tcPr>
          <w:p w14:paraId="0FFFAA24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620" w:type="dxa"/>
            <w:vAlign w:val="center"/>
          </w:tcPr>
          <w:p w14:paraId="5E2EEFD5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49B3A687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Range</w:t>
            </w:r>
          </w:p>
        </w:tc>
        <w:tc>
          <w:tcPr>
            <w:tcW w:w="3240" w:type="dxa"/>
            <w:vAlign w:val="center"/>
          </w:tcPr>
          <w:p w14:paraId="0C087551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728" w:type="dxa"/>
            <w:vAlign w:val="center"/>
          </w:tcPr>
          <w:p w14:paraId="3B8969F6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69" w:type="dxa"/>
            <w:vAlign w:val="center"/>
          </w:tcPr>
          <w:p w14:paraId="21B2CB6D" w14:textId="77777777" w:rsidR="00CC1C5B" w:rsidRPr="005A6853" w:rsidRDefault="00CC1C5B" w:rsidP="006F5C2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A6853">
              <w:rPr>
                <w:rFonts w:cstheme="minorHAnsi"/>
                <w:sz w:val="20"/>
                <w:szCs w:val="20"/>
                <w:u w:val="single"/>
              </w:rPr>
              <w:t>Other</w:t>
            </w:r>
          </w:p>
        </w:tc>
      </w:tr>
      <w:tr w:rsidR="001A0800" w:rsidRPr="005A6853" w14:paraId="1D83EA48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2EC4EBFB" w14:textId="77777777" w:rsidR="001A0800" w:rsidRPr="005A6853" w:rsidRDefault="001A0800" w:rsidP="001A0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539DC337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Hydrogen ion concentration (pH)</w:t>
            </w:r>
          </w:p>
        </w:tc>
        <w:tc>
          <w:tcPr>
            <w:tcW w:w="1530" w:type="dxa"/>
            <w:vAlign w:val="center"/>
          </w:tcPr>
          <w:p w14:paraId="6656F64F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Glass combination electrode</w:t>
            </w:r>
          </w:p>
        </w:tc>
        <w:tc>
          <w:tcPr>
            <w:tcW w:w="1620" w:type="dxa"/>
            <w:vAlign w:val="center"/>
          </w:tcPr>
          <w:p w14:paraId="31343308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599702</w:t>
            </w:r>
          </w:p>
        </w:tc>
        <w:tc>
          <w:tcPr>
            <w:tcW w:w="1350" w:type="dxa"/>
            <w:vAlign w:val="center"/>
          </w:tcPr>
          <w:p w14:paraId="3A9676D3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 – 14 units</w:t>
            </w:r>
          </w:p>
        </w:tc>
        <w:tc>
          <w:tcPr>
            <w:tcW w:w="3240" w:type="dxa"/>
            <w:vAlign w:val="center"/>
          </w:tcPr>
          <w:p w14:paraId="395949FB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±0.1 pH units within ±10°C</w:t>
            </w:r>
          </w:p>
          <w:p w14:paraId="3177E70B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of calibration </w:t>
            </w:r>
            <w:proofErr w:type="gramStart"/>
            <w:r w:rsidRPr="005A6853">
              <w:rPr>
                <w:rFonts w:cstheme="minorHAnsi"/>
                <w:sz w:val="20"/>
                <w:szCs w:val="20"/>
              </w:rPr>
              <w:t>temperature;</w:t>
            </w:r>
            <w:proofErr w:type="gramEnd"/>
          </w:p>
          <w:p w14:paraId="5FE76810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±0.2 pH units for entire temp range</w:t>
            </w:r>
          </w:p>
        </w:tc>
        <w:tc>
          <w:tcPr>
            <w:tcW w:w="1728" w:type="dxa"/>
            <w:vAlign w:val="center"/>
          </w:tcPr>
          <w:p w14:paraId="4B900A33" w14:textId="77777777" w:rsidR="001A0800" w:rsidRPr="005A6853" w:rsidRDefault="001A0800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0.01 units</w:t>
            </w:r>
          </w:p>
        </w:tc>
        <w:tc>
          <w:tcPr>
            <w:tcW w:w="1469" w:type="dxa"/>
            <w:vAlign w:val="center"/>
          </w:tcPr>
          <w:p w14:paraId="6FE41EF1" w14:textId="77777777" w:rsidR="001A0800" w:rsidRPr="005A6853" w:rsidRDefault="000606FC" w:rsidP="001A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6FC" w:rsidRPr="005A6853" w14:paraId="49C82B10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15BE3975" w14:textId="4D5DA2A4" w:rsidR="000606FC" w:rsidRPr="00880C6C" w:rsidRDefault="000606FC" w:rsidP="00880C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Conductivity</w:t>
            </w:r>
          </w:p>
        </w:tc>
        <w:tc>
          <w:tcPr>
            <w:tcW w:w="1710" w:type="dxa"/>
            <w:vAlign w:val="center"/>
          </w:tcPr>
          <w:p w14:paraId="3DAEFB5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6853">
              <w:rPr>
                <w:rFonts w:cstheme="minorHAnsi"/>
                <w:sz w:val="20"/>
                <w:szCs w:val="20"/>
              </w:rPr>
              <w:t>microSiemens</w:t>
            </w:r>
            <w:proofErr w:type="spellEnd"/>
            <w:r w:rsidRPr="005A6853">
              <w:rPr>
                <w:rFonts w:cstheme="minorHAnsi"/>
                <w:sz w:val="20"/>
                <w:szCs w:val="20"/>
              </w:rPr>
              <w:t xml:space="preserve"> per cm (µS/cm)</w:t>
            </w:r>
          </w:p>
        </w:tc>
        <w:tc>
          <w:tcPr>
            <w:tcW w:w="1530" w:type="dxa"/>
            <w:vAlign w:val="center"/>
          </w:tcPr>
          <w:p w14:paraId="7CEC4D01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4-electrode nickel</w:t>
            </w:r>
          </w:p>
        </w:tc>
        <w:tc>
          <w:tcPr>
            <w:tcW w:w="1620" w:type="dxa"/>
            <w:vAlign w:val="center"/>
          </w:tcPr>
          <w:p w14:paraId="105325DD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60E0448F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 – 200 µS/cm</w:t>
            </w:r>
          </w:p>
        </w:tc>
        <w:tc>
          <w:tcPr>
            <w:tcW w:w="3240" w:type="dxa"/>
            <w:vAlign w:val="center"/>
          </w:tcPr>
          <w:p w14:paraId="16B30169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0-100 µS/cm: ±0.5% of</w:t>
            </w:r>
          </w:p>
          <w:p w14:paraId="6C49DC5A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reading or 0.001 µS/cm,</w:t>
            </w:r>
          </w:p>
          <w:p w14:paraId="68976646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whichever is </w:t>
            </w:r>
            <w:proofErr w:type="gramStart"/>
            <w:r w:rsidRPr="005A6853">
              <w:rPr>
                <w:rFonts w:cstheme="minorHAnsi"/>
                <w:sz w:val="20"/>
                <w:szCs w:val="20"/>
              </w:rPr>
              <w:t>greater;</w:t>
            </w:r>
            <w:proofErr w:type="gramEnd"/>
          </w:p>
          <w:p w14:paraId="133B75C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100-200 µS/cm: ±1% of</w:t>
            </w:r>
          </w:p>
          <w:p w14:paraId="6B213D49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728" w:type="dxa"/>
            <w:vAlign w:val="center"/>
          </w:tcPr>
          <w:p w14:paraId="753900FE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0.0001 to 0.01 µS/cm</w:t>
            </w:r>
          </w:p>
          <w:p w14:paraId="26E80AA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range-dependent</w:t>
            </w:r>
          </w:p>
        </w:tc>
        <w:tc>
          <w:tcPr>
            <w:tcW w:w="1469" w:type="dxa"/>
            <w:vAlign w:val="center"/>
          </w:tcPr>
          <w:p w14:paraId="2EECB428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6FC" w:rsidRPr="005A6853" w14:paraId="35BA4B8F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1F28D80F" w14:textId="77777777" w:rsidR="000606FC" w:rsidRPr="005A6853" w:rsidRDefault="000606FC" w:rsidP="00060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7CF589B8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Air saturation (%)</w:t>
            </w:r>
          </w:p>
          <w:p w14:paraId="72B1429D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15557B19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mg/L</w:t>
            </w:r>
          </w:p>
        </w:tc>
        <w:tc>
          <w:tcPr>
            <w:tcW w:w="1530" w:type="dxa"/>
            <w:vAlign w:val="center"/>
          </w:tcPr>
          <w:p w14:paraId="0B601D84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Optical, luminescence lifetime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0159039C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Calculated</w:t>
            </w:r>
          </w:p>
        </w:tc>
        <w:tc>
          <w:tcPr>
            <w:tcW w:w="1620" w:type="dxa"/>
            <w:vAlign w:val="center"/>
          </w:tcPr>
          <w:p w14:paraId="4EEC230E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599100-01</w:t>
            </w:r>
          </w:p>
        </w:tc>
        <w:tc>
          <w:tcPr>
            <w:tcW w:w="1350" w:type="dxa"/>
            <w:vAlign w:val="center"/>
          </w:tcPr>
          <w:p w14:paraId="5409B07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 – 500%</w:t>
            </w:r>
          </w:p>
          <w:p w14:paraId="12C2DAFC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5857B9A8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 – 50 mg/L</w:t>
            </w:r>
          </w:p>
        </w:tc>
        <w:tc>
          <w:tcPr>
            <w:tcW w:w="3240" w:type="dxa"/>
            <w:vAlign w:val="center"/>
          </w:tcPr>
          <w:p w14:paraId="387A4024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0 – 200%: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1%</w:t>
            </w:r>
          </w:p>
          <w:p w14:paraId="44FB8450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200 – 500%: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5%</w:t>
            </w:r>
          </w:p>
          <w:p w14:paraId="000FC5BC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78217A83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0 – 20 mg/L: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0.1 mg/L or 1% (whichever is greater</w:t>
            </w:r>
            <w:proofErr w:type="gramStart"/>
            <w:r w:rsidRPr="005A6853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3765DCCB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20 – 50 mg/L: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-5%</w:t>
            </w:r>
          </w:p>
        </w:tc>
        <w:tc>
          <w:tcPr>
            <w:tcW w:w="1728" w:type="dxa"/>
            <w:vAlign w:val="center"/>
          </w:tcPr>
          <w:p w14:paraId="59D419E8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0.1%</w:t>
            </w:r>
          </w:p>
          <w:p w14:paraId="38F2C208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540A843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0.01 mg/L</w:t>
            </w:r>
          </w:p>
        </w:tc>
        <w:tc>
          <w:tcPr>
            <w:tcW w:w="1469" w:type="dxa"/>
            <w:vAlign w:val="center"/>
          </w:tcPr>
          <w:p w14:paraId="327E6375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6FC" w:rsidRPr="005A6853" w14:paraId="69062A0F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46F16E70" w14:textId="77777777" w:rsidR="000606FC" w:rsidRPr="005A6853" w:rsidRDefault="000606FC" w:rsidP="00060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37268F16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6853">
              <w:rPr>
                <w:rFonts w:cstheme="minorHAnsi"/>
                <w:sz w:val="20"/>
                <w:szCs w:val="20"/>
              </w:rPr>
              <w:t>Formazin</w:t>
            </w:r>
            <w:proofErr w:type="spellEnd"/>
            <w:r w:rsidRPr="005A6853">
              <w:rPr>
                <w:rFonts w:cstheme="minorHAnsi"/>
                <w:sz w:val="20"/>
                <w:szCs w:val="20"/>
              </w:rPr>
              <w:t xml:space="preserve"> Nephelometric Units (FNU)</w:t>
            </w:r>
          </w:p>
        </w:tc>
        <w:tc>
          <w:tcPr>
            <w:tcW w:w="1530" w:type="dxa"/>
            <w:vAlign w:val="center"/>
          </w:tcPr>
          <w:p w14:paraId="5D4C150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Optical, 90° scatter</w:t>
            </w:r>
          </w:p>
        </w:tc>
        <w:tc>
          <w:tcPr>
            <w:tcW w:w="1620" w:type="dxa"/>
            <w:vAlign w:val="center"/>
          </w:tcPr>
          <w:p w14:paraId="4ACEDBA5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599101-01</w:t>
            </w:r>
          </w:p>
        </w:tc>
        <w:tc>
          <w:tcPr>
            <w:tcW w:w="1350" w:type="dxa"/>
            <w:vAlign w:val="center"/>
          </w:tcPr>
          <w:p w14:paraId="7CCD34AF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 – 4000 FNU</w:t>
            </w:r>
          </w:p>
        </w:tc>
        <w:tc>
          <w:tcPr>
            <w:tcW w:w="3240" w:type="dxa"/>
            <w:vAlign w:val="center"/>
          </w:tcPr>
          <w:p w14:paraId="676B256B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0-999 FNU: 0.3 FNU or</w:t>
            </w:r>
          </w:p>
          <w:p w14:paraId="14875FDA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±2% of reading, whichever is greater; 1000-4000 FNU: ±5% of reading</w:t>
            </w:r>
          </w:p>
        </w:tc>
        <w:tc>
          <w:tcPr>
            <w:tcW w:w="1728" w:type="dxa"/>
            <w:vAlign w:val="center"/>
          </w:tcPr>
          <w:p w14:paraId="2874E9D7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0-999 FNU: 0.01 FNU</w:t>
            </w:r>
          </w:p>
          <w:p w14:paraId="283BA710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1000-4000 FNU: 0.1 FNU</w:t>
            </w:r>
          </w:p>
        </w:tc>
        <w:tc>
          <w:tcPr>
            <w:tcW w:w="1469" w:type="dxa"/>
            <w:vAlign w:val="center"/>
          </w:tcPr>
          <w:p w14:paraId="1384CF0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6FC" w:rsidRPr="005A6853" w14:paraId="508A9529" w14:textId="77777777" w:rsidTr="00A4292D">
        <w:trPr>
          <w:trHeight w:val="499"/>
        </w:trPr>
        <w:tc>
          <w:tcPr>
            <w:tcW w:w="1548" w:type="dxa"/>
            <w:vAlign w:val="center"/>
          </w:tcPr>
          <w:p w14:paraId="2C887357" w14:textId="77777777" w:rsidR="000606FC" w:rsidRPr="005A6853" w:rsidRDefault="000606FC" w:rsidP="00060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Water temperature</w:t>
            </w:r>
          </w:p>
          <w:p w14:paraId="09BDAE0B" w14:textId="39A9CD2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CAA2E1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Celsius (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°</w:t>
            </w:r>
            <w:r w:rsidRPr="005A6853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530" w:type="dxa"/>
            <w:vAlign w:val="center"/>
          </w:tcPr>
          <w:p w14:paraId="14D76523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Thermistor</w:t>
            </w:r>
          </w:p>
        </w:tc>
        <w:tc>
          <w:tcPr>
            <w:tcW w:w="1620" w:type="dxa"/>
            <w:vAlign w:val="center"/>
          </w:tcPr>
          <w:p w14:paraId="264FA990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5928B57B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-5 to +50°C</w:t>
            </w:r>
          </w:p>
        </w:tc>
        <w:tc>
          <w:tcPr>
            <w:tcW w:w="3240" w:type="dxa"/>
            <w:vAlign w:val="center"/>
          </w:tcPr>
          <w:p w14:paraId="09C7040E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-5 to 35°C: ±0.01°C</w:t>
            </w:r>
          </w:p>
          <w:p w14:paraId="32F354CB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35 to 50°C: ±0.05°C</w:t>
            </w:r>
          </w:p>
        </w:tc>
        <w:tc>
          <w:tcPr>
            <w:tcW w:w="1728" w:type="dxa"/>
            <w:vAlign w:val="center"/>
          </w:tcPr>
          <w:p w14:paraId="3C08C311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0.001°C</w:t>
            </w:r>
          </w:p>
        </w:tc>
        <w:tc>
          <w:tcPr>
            <w:tcW w:w="1469" w:type="dxa"/>
            <w:vAlign w:val="center"/>
          </w:tcPr>
          <w:p w14:paraId="37303C6B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363687" w:rsidRPr="005A6853" w14:paraId="0EC3ABC7" w14:textId="77777777" w:rsidTr="00A4292D">
        <w:trPr>
          <w:trHeight w:val="499"/>
        </w:trPr>
        <w:tc>
          <w:tcPr>
            <w:tcW w:w="1548" w:type="dxa"/>
            <w:vAlign w:val="center"/>
          </w:tcPr>
          <w:p w14:paraId="3815BBE7" w14:textId="223D02B8" w:rsidR="00363687" w:rsidRPr="005A6853" w:rsidRDefault="00363687" w:rsidP="00060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Salinity</w:t>
            </w:r>
          </w:p>
        </w:tc>
        <w:tc>
          <w:tcPr>
            <w:tcW w:w="1710" w:type="dxa"/>
            <w:vAlign w:val="center"/>
          </w:tcPr>
          <w:p w14:paraId="34D64EEE" w14:textId="31AB58D8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 salinity units</w:t>
            </w:r>
          </w:p>
        </w:tc>
        <w:tc>
          <w:tcPr>
            <w:tcW w:w="1530" w:type="dxa"/>
            <w:vAlign w:val="center"/>
          </w:tcPr>
          <w:p w14:paraId="1C9EDB47" w14:textId="40C90363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Calculated from conductivity and temperature</w:t>
            </w:r>
          </w:p>
        </w:tc>
        <w:tc>
          <w:tcPr>
            <w:tcW w:w="1620" w:type="dxa"/>
            <w:vAlign w:val="center"/>
          </w:tcPr>
          <w:p w14:paraId="154EEBF7" w14:textId="68617916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0FBF2CEA" w14:textId="77777777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2AB9BE" w14:textId="77777777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624725B" w14:textId="77777777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1F440013" w14:textId="77777777" w:rsidR="00363687" w:rsidRPr="005A6853" w:rsidRDefault="00363687" w:rsidP="00060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6FC" w:rsidRPr="005A6853" w14:paraId="5A111134" w14:textId="77777777" w:rsidTr="00A4292D">
        <w:trPr>
          <w:trHeight w:val="473"/>
        </w:trPr>
        <w:tc>
          <w:tcPr>
            <w:tcW w:w="1548" w:type="dxa"/>
            <w:vAlign w:val="center"/>
          </w:tcPr>
          <w:p w14:paraId="6F8919E3" w14:textId="77777777" w:rsidR="000606FC" w:rsidRPr="005A6853" w:rsidRDefault="000606FC" w:rsidP="00060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853">
              <w:rPr>
                <w:rFonts w:cstheme="minorHAnsi"/>
                <w:b/>
                <w:sz w:val="20"/>
                <w:szCs w:val="20"/>
              </w:rPr>
              <w:t>Water level</w:t>
            </w:r>
          </w:p>
        </w:tc>
        <w:tc>
          <w:tcPr>
            <w:tcW w:w="1710" w:type="dxa"/>
            <w:vAlign w:val="center"/>
          </w:tcPr>
          <w:p w14:paraId="79B30B0E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Meters</w:t>
            </w:r>
          </w:p>
        </w:tc>
        <w:tc>
          <w:tcPr>
            <w:tcW w:w="1530" w:type="dxa"/>
            <w:vAlign w:val="center"/>
          </w:tcPr>
          <w:p w14:paraId="64BC000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Pressure transducer</w:t>
            </w:r>
          </w:p>
        </w:tc>
        <w:tc>
          <w:tcPr>
            <w:tcW w:w="1620" w:type="dxa"/>
            <w:vAlign w:val="center"/>
          </w:tcPr>
          <w:p w14:paraId="1B594A89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Integrated in sonde (YSI EXO2)</w:t>
            </w:r>
          </w:p>
        </w:tc>
        <w:tc>
          <w:tcPr>
            <w:tcW w:w="1350" w:type="dxa"/>
            <w:vAlign w:val="center"/>
          </w:tcPr>
          <w:p w14:paraId="4B8D1C45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0 – 10 m </w:t>
            </w:r>
          </w:p>
        </w:tc>
        <w:tc>
          <w:tcPr>
            <w:tcW w:w="3240" w:type="dxa"/>
            <w:vAlign w:val="center"/>
          </w:tcPr>
          <w:p w14:paraId="7F826D3C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0 – 15 ft: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0.01 ft (0.003 m</w:t>
            </w:r>
            <w:proofErr w:type="gramStart"/>
            <w:r w:rsidRPr="005A6853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49A5A5C3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 xml:space="preserve">15 – 35 ft: </w:t>
            </w:r>
            <w:r w:rsidRPr="005A6853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5A6853">
              <w:rPr>
                <w:rFonts w:cstheme="minorHAnsi"/>
                <w:sz w:val="20"/>
                <w:szCs w:val="20"/>
              </w:rPr>
              <w:t>0.065</w:t>
            </w:r>
            <w:proofErr w:type="gramStart"/>
            <w:r w:rsidRPr="005A6853">
              <w:rPr>
                <w:rFonts w:cstheme="minorHAnsi"/>
                <w:sz w:val="20"/>
                <w:szCs w:val="20"/>
              </w:rPr>
              <w:t>%;</w:t>
            </w:r>
            <w:proofErr w:type="gramEnd"/>
          </w:p>
          <w:p w14:paraId="72D4F331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35 – 50 ft (0.006 m)</w:t>
            </w:r>
          </w:p>
        </w:tc>
        <w:tc>
          <w:tcPr>
            <w:tcW w:w="1728" w:type="dxa"/>
            <w:vAlign w:val="center"/>
          </w:tcPr>
          <w:p w14:paraId="6E829855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Max. traceable rate: 3 ft/minute</w:t>
            </w:r>
          </w:p>
        </w:tc>
        <w:tc>
          <w:tcPr>
            <w:tcW w:w="1469" w:type="dxa"/>
            <w:vAlign w:val="center"/>
          </w:tcPr>
          <w:p w14:paraId="231AE6B2" w14:textId="77777777" w:rsidR="000606FC" w:rsidRPr="005A6853" w:rsidRDefault="000606FC" w:rsidP="00060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853">
              <w:rPr>
                <w:rFonts w:cstheme="minorHAnsi"/>
                <w:sz w:val="20"/>
                <w:szCs w:val="20"/>
              </w:rPr>
              <w:t>Non-vented depth sensor</w:t>
            </w:r>
          </w:p>
        </w:tc>
      </w:tr>
    </w:tbl>
    <w:p w14:paraId="5BCDF039" w14:textId="4B84BED4" w:rsidR="006821B3" w:rsidRPr="00A644A1" w:rsidRDefault="00A644A1" w:rsidP="00880C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Table 1. YSI EXO2 sensor specifications. </w:t>
      </w:r>
    </w:p>
    <w:sectPr w:rsidR="006821B3" w:rsidRPr="00A644A1" w:rsidSect="006667EA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D6BB" w14:textId="77777777" w:rsidR="0060394C" w:rsidRDefault="0060394C" w:rsidP="0018590C">
      <w:pPr>
        <w:spacing w:after="0" w:line="240" w:lineRule="auto"/>
      </w:pPr>
      <w:r>
        <w:separator/>
      </w:r>
    </w:p>
  </w:endnote>
  <w:endnote w:type="continuationSeparator" w:id="0">
    <w:p w14:paraId="1F3A064B" w14:textId="77777777" w:rsidR="0060394C" w:rsidRDefault="0060394C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64AB" w14:textId="77777777" w:rsidR="0060394C" w:rsidRDefault="0060394C" w:rsidP="0018590C">
      <w:pPr>
        <w:spacing w:after="0" w:line="240" w:lineRule="auto"/>
      </w:pPr>
      <w:r>
        <w:separator/>
      </w:r>
    </w:p>
  </w:footnote>
  <w:footnote w:type="continuationSeparator" w:id="0">
    <w:p w14:paraId="7BBA2606" w14:textId="77777777" w:rsidR="0060394C" w:rsidRDefault="0060394C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0F5E" w14:textId="107C961E" w:rsidR="003762D3" w:rsidRDefault="003762D3" w:rsidP="0018590C">
    <w:pPr>
      <w:pStyle w:val="Header"/>
      <w:jc w:val="right"/>
    </w:pPr>
    <w:r w:rsidRPr="00CC4D9C">
      <w:t xml:space="preserve">Last updated: </w:t>
    </w:r>
    <w:r w:rsidR="009361E0">
      <w:t>12</w:t>
    </w:r>
    <w:r w:rsidR="005A6853">
      <w:t>/</w:t>
    </w:r>
    <w:r w:rsidR="009361E0">
      <w:t>15</w:t>
    </w:r>
    <w:r w:rsidR="005A6853">
      <w:t>/</w:t>
    </w:r>
    <w:r w:rsidR="009361E0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99ED" w14:textId="76AF6341" w:rsidR="003762D3" w:rsidRPr="001A0800" w:rsidRDefault="003762D3" w:rsidP="001A0800">
    <w:pPr>
      <w:pStyle w:val="Header"/>
      <w:jc w:val="center"/>
      <w:rPr>
        <w:b/>
        <w:color w:val="000000" w:themeColor="tex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0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0C"/>
    <w:rsid w:val="00004B40"/>
    <w:rsid w:val="00012FA9"/>
    <w:rsid w:val="00034438"/>
    <w:rsid w:val="00043339"/>
    <w:rsid w:val="0005600F"/>
    <w:rsid w:val="0006042C"/>
    <w:rsid w:val="000606FC"/>
    <w:rsid w:val="00076C6C"/>
    <w:rsid w:val="000A05DE"/>
    <w:rsid w:val="000B22E3"/>
    <w:rsid w:val="000B6265"/>
    <w:rsid w:val="000C31BA"/>
    <w:rsid w:val="000D2C26"/>
    <w:rsid w:val="000E6554"/>
    <w:rsid w:val="00103E64"/>
    <w:rsid w:val="00112C92"/>
    <w:rsid w:val="00112CCF"/>
    <w:rsid w:val="0012082B"/>
    <w:rsid w:val="001338DF"/>
    <w:rsid w:val="0013759F"/>
    <w:rsid w:val="00147B4C"/>
    <w:rsid w:val="0016685A"/>
    <w:rsid w:val="001777CB"/>
    <w:rsid w:val="00180219"/>
    <w:rsid w:val="0018399B"/>
    <w:rsid w:val="00183C3A"/>
    <w:rsid w:val="001843E9"/>
    <w:rsid w:val="0018590C"/>
    <w:rsid w:val="00193969"/>
    <w:rsid w:val="001A0800"/>
    <w:rsid w:val="001A4B55"/>
    <w:rsid w:val="001C20BB"/>
    <w:rsid w:val="001C75BF"/>
    <w:rsid w:val="001D2EB0"/>
    <w:rsid w:val="001D5EE1"/>
    <w:rsid w:val="001D648B"/>
    <w:rsid w:val="001E2412"/>
    <w:rsid w:val="0020080D"/>
    <w:rsid w:val="00200FBC"/>
    <w:rsid w:val="002143ED"/>
    <w:rsid w:val="002326AF"/>
    <w:rsid w:val="002378C0"/>
    <w:rsid w:val="00241B64"/>
    <w:rsid w:val="002642F0"/>
    <w:rsid w:val="00264F6E"/>
    <w:rsid w:val="00266484"/>
    <w:rsid w:val="00266AFE"/>
    <w:rsid w:val="00270CE1"/>
    <w:rsid w:val="0027576E"/>
    <w:rsid w:val="00286359"/>
    <w:rsid w:val="002911D1"/>
    <w:rsid w:val="00293353"/>
    <w:rsid w:val="002A75C0"/>
    <w:rsid w:val="002B76F8"/>
    <w:rsid w:val="002B7C5C"/>
    <w:rsid w:val="002C4E05"/>
    <w:rsid w:val="002C54E5"/>
    <w:rsid w:val="002E2459"/>
    <w:rsid w:val="002F0AF8"/>
    <w:rsid w:val="003026F3"/>
    <w:rsid w:val="003067DE"/>
    <w:rsid w:val="00306BC3"/>
    <w:rsid w:val="003202BF"/>
    <w:rsid w:val="00354298"/>
    <w:rsid w:val="00362ECF"/>
    <w:rsid w:val="00363687"/>
    <w:rsid w:val="00373556"/>
    <w:rsid w:val="003762D3"/>
    <w:rsid w:val="00382C2E"/>
    <w:rsid w:val="00392EA1"/>
    <w:rsid w:val="003943FD"/>
    <w:rsid w:val="003A5D6D"/>
    <w:rsid w:val="003A7D14"/>
    <w:rsid w:val="003B37AC"/>
    <w:rsid w:val="003B466D"/>
    <w:rsid w:val="003C43CF"/>
    <w:rsid w:val="003E6966"/>
    <w:rsid w:val="003F6DFD"/>
    <w:rsid w:val="00406823"/>
    <w:rsid w:val="00414E69"/>
    <w:rsid w:val="004315D3"/>
    <w:rsid w:val="004443CF"/>
    <w:rsid w:val="00464A35"/>
    <w:rsid w:val="004655F8"/>
    <w:rsid w:val="00470302"/>
    <w:rsid w:val="004A0988"/>
    <w:rsid w:val="004C2D8D"/>
    <w:rsid w:val="004D1C89"/>
    <w:rsid w:val="004D32C5"/>
    <w:rsid w:val="004E41C5"/>
    <w:rsid w:val="004E52C7"/>
    <w:rsid w:val="00506060"/>
    <w:rsid w:val="0050635B"/>
    <w:rsid w:val="00506A12"/>
    <w:rsid w:val="00547E70"/>
    <w:rsid w:val="00566619"/>
    <w:rsid w:val="0057230A"/>
    <w:rsid w:val="00580BFC"/>
    <w:rsid w:val="005961D1"/>
    <w:rsid w:val="005A6853"/>
    <w:rsid w:val="005B4F51"/>
    <w:rsid w:val="005C4BB8"/>
    <w:rsid w:val="005D0626"/>
    <w:rsid w:val="0060394C"/>
    <w:rsid w:val="00607473"/>
    <w:rsid w:val="00612BFB"/>
    <w:rsid w:val="006151FB"/>
    <w:rsid w:val="00624F8A"/>
    <w:rsid w:val="006326BF"/>
    <w:rsid w:val="006346E1"/>
    <w:rsid w:val="006366CB"/>
    <w:rsid w:val="00641A63"/>
    <w:rsid w:val="00652193"/>
    <w:rsid w:val="0065483D"/>
    <w:rsid w:val="00665343"/>
    <w:rsid w:val="006667EA"/>
    <w:rsid w:val="006821B3"/>
    <w:rsid w:val="006B39BE"/>
    <w:rsid w:val="006B5C20"/>
    <w:rsid w:val="006D3ED2"/>
    <w:rsid w:val="006E13BE"/>
    <w:rsid w:val="006F5C2D"/>
    <w:rsid w:val="007019D3"/>
    <w:rsid w:val="00702441"/>
    <w:rsid w:val="00703D0B"/>
    <w:rsid w:val="0072457C"/>
    <w:rsid w:val="0075361A"/>
    <w:rsid w:val="00770DE3"/>
    <w:rsid w:val="00772F40"/>
    <w:rsid w:val="00776AD1"/>
    <w:rsid w:val="00786EB8"/>
    <w:rsid w:val="007C0E36"/>
    <w:rsid w:val="007C15F7"/>
    <w:rsid w:val="007C4398"/>
    <w:rsid w:val="007E5551"/>
    <w:rsid w:val="007E7FBA"/>
    <w:rsid w:val="007F79D4"/>
    <w:rsid w:val="00812CB4"/>
    <w:rsid w:val="00831523"/>
    <w:rsid w:val="00846ACE"/>
    <w:rsid w:val="00857A4D"/>
    <w:rsid w:val="00861994"/>
    <w:rsid w:val="00867D44"/>
    <w:rsid w:val="00880C6C"/>
    <w:rsid w:val="00884F2B"/>
    <w:rsid w:val="00894B7A"/>
    <w:rsid w:val="008A2C5D"/>
    <w:rsid w:val="008A455E"/>
    <w:rsid w:val="008B7E10"/>
    <w:rsid w:val="008C2310"/>
    <w:rsid w:val="008C6546"/>
    <w:rsid w:val="008D5AA1"/>
    <w:rsid w:val="008E5645"/>
    <w:rsid w:val="008E7F62"/>
    <w:rsid w:val="008F6CB4"/>
    <w:rsid w:val="00913AC9"/>
    <w:rsid w:val="009361E0"/>
    <w:rsid w:val="0094451D"/>
    <w:rsid w:val="00950199"/>
    <w:rsid w:val="00967B95"/>
    <w:rsid w:val="00973FD1"/>
    <w:rsid w:val="00982B41"/>
    <w:rsid w:val="0098661F"/>
    <w:rsid w:val="00997C38"/>
    <w:rsid w:val="009A2898"/>
    <w:rsid w:val="009B2253"/>
    <w:rsid w:val="009B3F85"/>
    <w:rsid w:val="009C172E"/>
    <w:rsid w:val="009D6291"/>
    <w:rsid w:val="009D788E"/>
    <w:rsid w:val="009E4E09"/>
    <w:rsid w:val="00A06055"/>
    <w:rsid w:val="00A13E4C"/>
    <w:rsid w:val="00A16AC3"/>
    <w:rsid w:val="00A21B09"/>
    <w:rsid w:val="00A23070"/>
    <w:rsid w:val="00A27A11"/>
    <w:rsid w:val="00A369E9"/>
    <w:rsid w:val="00A4292D"/>
    <w:rsid w:val="00A42C2F"/>
    <w:rsid w:val="00A4481B"/>
    <w:rsid w:val="00A51319"/>
    <w:rsid w:val="00A616C6"/>
    <w:rsid w:val="00A644A1"/>
    <w:rsid w:val="00A826BD"/>
    <w:rsid w:val="00A85DFF"/>
    <w:rsid w:val="00A97278"/>
    <w:rsid w:val="00AF4F59"/>
    <w:rsid w:val="00B03B64"/>
    <w:rsid w:val="00B04431"/>
    <w:rsid w:val="00B07041"/>
    <w:rsid w:val="00B21B4F"/>
    <w:rsid w:val="00B3346A"/>
    <w:rsid w:val="00B35CE7"/>
    <w:rsid w:val="00B4699C"/>
    <w:rsid w:val="00B93450"/>
    <w:rsid w:val="00BA08DD"/>
    <w:rsid w:val="00BA0D96"/>
    <w:rsid w:val="00BA6B41"/>
    <w:rsid w:val="00BB7B19"/>
    <w:rsid w:val="00BC7FD5"/>
    <w:rsid w:val="00BD378C"/>
    <w:rsid w:val="00BF2644"/>
    <w:rsid w:val="00BF6611"/>
    <w:rsid w:val="00C143F9"/>
    <w:rsid w:val="00C15716"/>
    <w:rsid w:val="00C22B1F"/>
    <w:rsid w:val="00C52724"/>
    <w:rsid w:val="00C64CF1"/>
    <w:rsid w:val="00C66766"/>
    <w:rsid w:val="00C706BC"/>
    <w:rsid w:val="00C736EF"/>
    <w:rsid w:val="00CB4534"/>
    <w:rsid w:val="00CB5422"/>
    <w:rsid w:val="00CB5895"/>
    <w:rsid w:val="00CC1C5B"/>
    <w:rsid w:val="00CC4D9C"/>
    <w:rsid w:val="00CC51CF"/>
    <w:rsid w:val="00CD0B4B"/>
    <w:rsid w:val="00CE5605"/>
    <w:rsid w:val="00CF47B4"/>
    <w:rsid w:val="00D06BBB"/>
    <w:rsid w:val="00D67D6E"/>
    <w:rsid w:val="00D724CB"/>
    <w:rsid w:val="00D756A9"/>
    <w:rsid w:val="00D829B2"/>
    <w:rsid w:val="00D82C81"/>
    <w:rsid w:val="00D83EF8"/>
    <w:rsid w:val="00D932F1"/>
    <w:rsid w:val="00DA00A5"/>
    <w:rsid w:val="00DC436A"/>
    <w:rsid w:val="00DD060C"/>
    <w:rsid w:val="00DD3023"/>
    <w:rsid w:val="00DD7B3E"/>
    <w:rsid w:val="00DE0676"/>
    <w:rsid w:val="00DE0F3D"/>
    <w:rsid w:val="00DE2A53"/>
    <w:rsid w:val="00E05EAE"/>
    <w:rsid w:val="00E10E2F"/>
    <w:rsid w:val="00E163D3"/>
    <w:rsid w:val="00E24BA3"/>
    <w:rsid w:val="00E32270"/>
    <w:rsid w:val="00E363C4"/>
    <w:rsid w:val="00E46D14"/>
    <w:rsid w:val="00E53506"/>
    <w:rsid w:val="00E60EAC"/>
    <w:rsid w:val="00E63716"/>
    <w:rsid w:val="00E734D0"/>
    <w:rsid w:val="00E876A3"/>
    <w:rsid w:val="00E97E2E"/>
    <w:rsid w:val="00EA12B1"/>
    <w:rsid w:val="00EA4DF2"/>
    <w:rsid w:val="00EA508A"/>
    <w:rsid w:val="00EA5EC7"/>
    <w:rsid w:val="00EB2518"/>
    <w:rsid w:val="00EB27B7"/>
    <w:rsid w:val="00EB354F"/>
    <w:rsid w:val="00EB7297"/>
    <w:rsid w:val="00EE4CFC"/>
    <w:rsid w:val="00EF681C"/>
    <w:rsid w:val="00F20921"/>
    <w:rsid w:val="00F2282F"/>
    <w:rsid w:val="00F24D3D"/>
    <w:rsid w:val="00F2703F"/>
    <w:rsid w:val="00F30C1A"/>
    <w:rsid w:val="00F33491"/>
    <w:rsid w:val="00F5165E"/>
    <w:rsid w:val="00F543A4"/>
    <w:rsid w:val="00F665F9"/>
    <w:rsid w:val="00F673FC"/>
    <w:rsid w:val="00F772B7"/>
    <w:rsid w:val="00F85F04"/>
    <w:rsid w:val="00F90C36"/>
    <w:rsid w:val="00F90E2E"/>
    <w:rsid w:val="00F91277"/>
    <w:rsid w:val="00FB486C"/>
    <w:rsid w:val="00FC13AA"/>
    <w:rsid w:val="00FC36B5"/>
    <w:rsid w:val="00FD0197"/>
    <w:rsid w:val="00FD6696"/>
    <w:rsid w:val="00FD7884"/>
    <w:rsid w:val="00FD7D21"/>
    <w:rsid w:val="00FE304C"/>
    <w:rsid w:val="00FE3322"/>
    <w:rsid w:val="00FF2734"/>
    <w:rsid w:val="00FF369D"/>
    <w:rsid w:val="039DEFF5"/>
    <w:rsid w:val="03D90DF1"/>
    <w:rsid w:val="0B929BA1"/>
    <w:rsid w:val="0BDC39A8"/>
    <w:rsid w:val="0D782957"/>
    <w:rsid w:val="0F13DA6A"/>
    <w:rsid w:val="167B367F"/>
    <w:rsid w:val="1C893009"/>
    <w:rsid w:val="1CE1CCE3"/>
    <w:rsid w:val="216E5B50"/>
    <w:rsid w:val="2989F36B"/>
    <w:rsid w:val="33BF8F16"/>
    <w:rsid w:val="42A74B55"/>
    <w:rsid w:val="474F7230"/>
    <w:rsid w:val="4B370DE6"/>
    <w:rsid w:val="4CD2DE47"/>
    <w:rsid w:val="4D048395"/>
    <w:rsid w:val="500A7F09"/>
    <w:rsid w:val="5F8AB750"/>
    <w:rsid w:val="5F9A476E"/>
    <w:rsid w:val="69B64A42"/>
    <w:rsid w:val="6CE6751A"/>
    <w:rsid w:val="7B4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744B8"/>
  <w15:docId w15:val="{5BD6CCFB-F7A8-4699-B770-6C2A2C4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580">
              <w:marLeft w:val="134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eco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reco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40%C2%B042'47.7%22N+74%C2%B007'23.1%22W/@40.713239,-74.123086,2803m/data=!3m2!1e3!4b1!4m2!3m1!1s0x0:0x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6FF6A-7C38-4CA9-9893-F87316645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EE3D-2D4E-4862-937E-F3952AF1F448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3.xml><?xml version="1.0" encoding="utf-8"?>
<ds:datastoreItem xmlns:ds="http://schemas.openxmlformats.org/officeDocument/2006/customXml" ds:itemID="{D033E8DA-18CF-4907-9901-B6953A8D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4923</Characters>
  <Application>Microsoft Office Word</Application>
  <DocSecurity>0</DocSecurity>
  <Lines>41</Lines>
  <Paragraphs>11</Paragraphs>
  <ScaleCrop>false</ScaleCrop>
  <Company>PVSC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</dc:creator>
  <cp:lastModifiedBy>Flaten, Brittney K (DEC)</cp:lastModifiedBy>
  <cp:revision>15</cp:revision>
  <cp:lastPrinted>2017-05-19T18:48:00Z</cp:lastPrinted>
  <dcterms:created xsi:type="dcterms:W3CDTF">2017-12-11T20:21:00Z</dcterms:created>
  <dcterms:modified xsi:type="dcterms:W3CDTF">2023-12-18T18:11:00Z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  <property fmtid="{D5CDD505-2E9C-101B-9397-08002B2CF9AE}" pid="3" name="MediaServiceImageTags">
    <vt:lpwstr/>
  </property>
</Properties>
</file>