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9"/>
        <w:gridCol w:w="5409"/>
      </w:tblGrid>
      <w:tr w:rsidR="00DF38D6" w:rsidRPr="003026F3" w14:paraId="1BF7562E" w14:textId="77777777" w:rsidTr="619A3A90">
        <w:trPr>
          <w:trHeight w:val="1700"/>
        </w:trPr>
        <w:tc>
          <w:tcPr>
            <w:tcW w:w="10878" w:type="dxa"/>
            <w:gridSpan w:val="2"/>
          </w:tcPr>
          <w:p w14:paraId="1BF75627" w14:textId="75228371" w:rsidR="00DF38D6" w:rsidRPr="00241B64" w:rsidRDefault="00DF38D6" w:rsidP="004D36DE">
            <w:pPr>
              <w:spacing w:before="120" w:after="12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</w:t>
            </w:r>
            <w:r w:rsidRPr="00241B64">
              <w:rPr>
                <w:rFonts w:cstheme="minorHAnsi"/>
                <w:b/>
                <w:sz w:val="32"/>
                <w:szCs w:val="32"/>
              </w:rPr>
              <w:t xml:space="preserve">etadata: </w:t>
            </w:r>
            <w:r>
              <w:rPr>
                <w:rFonts w:cstheme="minorHAnsi"/>
                <w:b/>
                <w:sz w:val="32"/>
                <w:szCs w:val="32"/>
              </w:rPr>
              <w:t>Mohawk River at Ilion, NY</w:t>
            </w:r>
          </w:p>
          <w:p w14:paraId="1BF75628" w14:textId="77777777" w:rsidR="00DF38D6" w:rsidRDefault="00DF38D6" w:rsidP="00DF38D6">
            <w:pPr>
              <w:ind w:right="3912"/>
              <w:rPr>
                <w:rFonts w:cstheme="minorHAnsi"/>
                <w:color w:val="000000"/>
                <w:sz w:val="24"/>
                <w:szCs w:val="24"/>
              </w:rPr>
            </w:pPr>
            <w:r w:rsidRPr="00CD4838"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1BF7577C" wp14:editId="1BF7577D">
                  <wp:simplePos x="0" y="0"/>
                  <wp:positionH relativeFrom="column">
                    <wp:posOffset>4426585</wp:posOffset>
                  </wp:positionH>
                  <wp:positionV relativeFrom="paragraph">
                    <wp:posOffset>36195</wp:posOffset>
                  </wp:positionV>
                  <wp:extent cx="2192522" cy="1084521"/>
                  <wp:effectExtent l="0" t="0" r="0" b="0"/>
                  <wp:wrapNone/>
                  <wp:docPr id="1" name="Picture 3" descr="C:\HRECOS\HRECOS_logo.smal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HRECOS\HRECOS_logo.small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22" cy="108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291A" w:rsidRPr="00CD4838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Pr="00CD4838">
              <w:rPr>
                <w:rFonts w:cstheme="minorHAnsi"/>
                <w:b/>
                <w:bCs/>
                <w:sz w:val="24"/>
                <w:szCs w:val="24"/>
              </w:rPr>
              <w:t>ocation:</w:t>
            </w:r>
            <w:r w:rsidRPr="003026F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Ilion, NY (</w:t>
            </w:r>
            <w:hyperlink r:id="rId12" w:history="1">
              <w:r w:rsidRPr="00F62A00">
                <w:rPr>
                  <w:rStyle w:val="Hyperlink"/>
                </w:rPr>
                <w:t>43.019750, -75.028472</w:t>
              </w:r>
            </w:hyperlink>
            <w:r w:rsidRPr="003026F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1BF75629" w14:textId="00535E15" w:rsidR="00DF38D6" w:rsidRPr="0046138A" w:rsidRDefault="00DF38D6" w:rsidP="619A3A90">
            <w:pPr>
              <w:ind w:left="222" w:right="3912"/>
              <w:rPr>
                <w:color w:val="000000"/>
                <w:sz w:val="24"/>
                <w:szCs w:val="24"/>
              </w:rPr>
            </w:pPr>
            <w:r w:rsidRPr="619A3A90">
              <w:rPr>
                <w:i/>
                <w:iCs/>
                <w:sz w:val="24"/>
                <w:szCs w:val="24"/>
              </w:rPr>
              <w:t>Data collection period</w:t>
            </w:r>
            <w:r w:rsidRPr="619A3A90">
              <w:rPr>
                <w:sz w:val="24"/>
                <w:szCs w:val="24"/>
              </w:rPr>
              <w:t>: 9/23/2015 – present</w:t>
            </w:r>
            <w:r w:rsidR="1E67CF1A" w:rsidRPr="619A3A90">
              <w:rPr>
                <w:sz w:val="24"/>
                <w:szCs w:val="24"/>
              </w:rPr>
              <w:t>, seasonally</w:t>
            </w:r>
          </w:p>
          <w:p w14:paraId="6D52CB81" w14:textId="77777777" w:rsidR="00CD4838" w:rsidRDefault="00DF38D6" w:rsidP="00CD4838">
            <w:pPr>
              <w:ind w:left="402" w:right="3912" w:hanging="180"/>
              <w:rPr>
                <w:rFonts w:cstheme="minorHAnsi"/>
                <w:sz w:val="24"/>
                <w:szCs w:val="24"/>
              </w:rPr>
            </w:pPr>
            <w:r w:rsidRPr="007B291A">
              <w:rPr>
                <w:rFonts w:cstheme="minorHAnsi"/>
                <w:i/>
                <w:sz w:val="24"/>
                <w:szCs w:val="24"/>
              </w:rPr>
              <w:t>Parameters</w:t>
            </w:r>
            <w:r w:rsidRPr="0046138A">
              <w:rPr>
                <w:rFonts w:cstheme="minorHAnsi"/>
                <w:sz w:val="24"/>
                <w:szCs w:val="24"/>
              </w:rPr>
              <w:t>: pH, dissolved oxygen, specific conductance, turbidity, water temperature, and water depth</w:t>
            </w:r>
            <w:r w:rsidR="00F3557D">
              <w:rPr>
                <w:rFonts w:cstheme="minorHAnsi"/>
                <w:sz w:val="24"/>
                <w:szCs w:val="24"/>
              </w:rPr>
              <w:t xml:space="preserve"> </w:t>
            </w:r>
            <w:r w:rsidR="007B291A">
              <w:rPr>
                <w:rFonts w:cstheme="minorHAnsi"/>
                <w:sz w:val="24"/>
                <w:szCs w:val="24"/>
              </w:rPr>
              <w:t>above</w:t>
            </w:r>
            <w:r w:rsidR="00F3557D">
              <w:rPr>
                <w:rFonts w:cstheme="minorHAnsi"/>
                <w:sz w:val="24"/>
                <w:szCs w:val="24"/>
              </w:rPr>
              <w:t xml:space="preserve"> sonde</w:t>
            </w:r>
            <w:r w:rsidRPr="0046138A">
              <w:rPr>
                <w:rFonts w:cstheme="minorHAnsi"/>
                <w:sz w:val="24"/>
                <w:szCs w:val="24"/>
              </w:rPr>
              <w:t>.</w:t>
            </w:r>
          </w:p>
          <w:p w14:paraId="1BF7562B" w14:textId="311E6757" w:rsidR="00DF38D6" w:rsidRPr="00CD4838" w:rsidRDefault="00CD4838" w:rsidP="00CD4838">
            <w:pPr>
              <w:ind w:left="402" w:right="3912" w:hanging="180"/>
              <w:rPr>
                <w:rFonts w:cstheme="minorHAnsi"/>
                <w:sz w:val="24"/>
                <w:szCs w:val="24"/>
              </w:rPr>
            </w:pPr>
            <w:r w:rsidRPr="00CD4838">
              <w:rPr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DF38D6" w:rsidRPr="00CD4838">
              <w:rPr>
                <w:b/>
                <w:bCs/>
                <w:color w:val="000000" w:themeColor="text1"/>
                <w:sz w:val="24"/>
                <w:szCs w:val="24"/>
              </w:rPr>
              <w:t>revious location:</w:t>
            </w:r>
            <w:r w:rsidR="00DF38D6" w:rsidRPr="241A8E0C">
              <w:rPr>
                <w:color w:val="000000" w:themeColor="text1"/>
                <w:sz w:val="24"/>
                <w:szCs w:val="24"/>
              </w:rPr>
              <w:t xml:space="preserve"> </w:t>
            </w:r>
            <w:r w:rsidR="00DF38D6" w:rsidRPr="241A8E0C">
              <w:rPr>
                <w:sz w:val="24"/>
                <w:szCs w:val="24"/>
              </w:rPr>
              <w:t xml:space="preserve">Frankfort, NY </w:t>
            </w:r>
            <w:r w:rsidR="00DF38D6" w:rsidRPr="241A8E0C">
              <w:t>(</w:t>
            </w:r>
            <w:hyperlink r:id="rId13">
              <w:r w:rsidR="00DF38D6" w:rsidRPr="241A8E0C">
                <w:rPr>
                  <w:rStyle w:val="Hyperlink"/>
                </w:rPr>
                <w:t>43.045277, -75.070093</w:t>
              </w:r>
            </w:hyperlink>
            <w:r w:rsidR="00DF38D6" w:rsidRPr="241A8E0C">
              <w:rPr>
                <w:color w:val="000000" w:themeColor="text1"/>
              </w:rPr>
              <w:t>)</w:t>
            </w:r>
          </w:p>
          <w:p w14:paraId="73018A26" w14:textId="14CE739A" w:rsidR="00B92513" w:rsidRPr="00B92513" w:rsidRDefault="00DF38D6" w:rsidP="241A8E0C">
            <w:pPr>
              <w:spacing w:after="60"/>
              <w:ind w:left="360" w:right="3912" w:hanging="180"/>
              <w:rPr>
                <w:sz w:val="24"/>
                <w:szCs w:val="24"/>
              </w:rPr>
            </w:pPr>
            <w:r w:rsidRPr="241A8E0C">
              <w:rPr>
                <w:i/>
                <w:iCs/>
                <w:sz w:val="24"/>
                <w:szCs w:val="24"/>
              </w:rPr>
              <w:t>Data collection periods</w:t>
            </w:r>
            <w:r w:rsidRPr="241A8E0C">
              <w:rPr>
                <w:sz w:val="24"/>
                <w:szCs w:val="24"/>
              </w:rPr>
              <w:t>:</w:t>
            </w:r>
            <w:r w:rsidRPr="241A8E0C">
              <w:rPr>
                <w:b/>
                <w:bCs/>
                <w:sz w:val="24"/>
                <w:szCs w:val="24"/>
              </w:rPr>
              <w:t xml:space="preserve"> </w:t>
            </w:r>
            <w:r w:rsidRPr="241A8E0C">
              <w:rPr>
                <w:sz w:val="24"/>
                <w:szCs w:val="24"/>
                <w:u w:val="single"/>
              </w:rPr>
              <w:t>2013</w:t>
            </w:r>
            <w:r w:rsidRPr="241A8E0C">
              <w:rPr>
                <w:sz w:val="24"/>
                <w:szCs w:val="24"/>
              </w:rPr>
              <w:t xml:space="preserve">: 5/1-6/15, 8/23-11/5; </w:t>
            </w:r>
            <w:r w:rsidRPr="241A8E0C">
              <w:rPr>
                <w:sz w:val="24"/>
                <w:szCs w:val="24"/>
                <w:u w:val="single"/>
              </w:rPr>
              <w:t>2014</w:t>
            </w:r>
            <w:r w:rsidRPr="241A8E0C">
              <w:rPr>
                <w:sz w:val="24"/>
                <w:szCs w:val="24"/>
              </w:rPr>
              <w:t>: 5/6-7/17</w:t>
            </w:r>
          </w:p>
          <w:p w14:paraId="1BF7562D" w14:textId="7E5259C2" w:rsidR="00B92513" w:rsidRPr="00B92513" w:rsidRDefault="30091878" w:rsidP="241A8E0C">
            <w:pPr>
              <w:spacing w:after="60"/>
              <w:ind w:left="402" w:right="3912" w:hanging="180"/>
              <w:rPr>
                <w:sz w:val="24"/>
                <w:szCs w:val="24"/>
              </w:rPr>
            </w:pPr>
            <w:r w:rsidRPr="454B8703">
              <w:rPr>
                <w:i/>
                <w:iCs/>
                <w:sz w:val="24"/>
                <w:szCs w:val="24"/>
              </w:rPr>
              <w:t xml:space="preserve">Parameters: </w:t>
            </w:r>
            <w:r w:rsidRPr="454B8703">
              <w:rPr>
                <w:sz w:val="24"/>
                <w:szCs w:val="24"/>
              </w:rPr>
              <w:t>pH, dissolved oxygen, specific conductance, turbidity,</w:t>
            </w:r>
            <w:r w:rsidR="27E3C5F6" w:rsidRPr="454B8703">
              <w:rPr>
                <w:sz w:val="24"/>
                <w:szCs w:val="24"/>
              </w:rPr>
              <w:t xml:space="preserve"> and</w:t>
            </w:r>
            <w:r w:rsidRPr="454B8703">
              <w:rPr>
                <w:sz w:val="24"/>
                <w:szCs w:val="24"/>
              </w:rPr>
              <w:t xml:space="preserve"> water temperature</w:t>
            </w:r>
            <w:r w:rsidR="410540F9" w:rsidRPr="454B8703">
              <w:rPr>
                <w:sz w:val="24"/>
                <w:szCs w:val="24"/>
              </w:rPr>
              <w:t>.</w:t>
            </w:r>
          </w:p>
        </w:tc>
      </w:tr>
      <w:tr w:rsidR="004C2D8D" w:rsidRPr="003026F3" w14:paraId="1BF75630" w14:textId="77777777" w:rsidTr="619A3A90">
        <w:tc>
          <w:tcPr>
            <w:tcW w:w="10878" w:type="dxa"/>
            <w:gridSpan w:val="2"/>
            <w:tcBorders>
              <w:bottom w:val="single" w:sz="4" w:space="0" w:color="auto"/>
            </w:tcBorders>
          </w:tcPr>
          <w:p w14:paraId="1BF7562F" w14:textId="77777777" w:rsidR="00776AD1" w:rsidRPr="00776AD1" w:rsidRDefault="004C2D8D" w:rsidP="0066383E">
            <w:pPr>
              <w:pStyle w:val="Default"/>
              <w:spacing w:before="120" w:after="120"/>
              <w:ind w:left="360" w:right="518"/>
              <w:rPr>
                <w:rFonts w:asciiTheme="minorHAnsi" w:hAnsiTheme="minorHAnsi" w:cstheme="minorHAnsi"/>
                <w:i/>
              </w:rPr>
            </w:pPr>
            <w:r w:rsidRPr="00562D0C">
              <w:rPr>
                <w:rFonts w:asciiTheme="minorHAnsi" w:hAnsiTheme="minorHAnsi" w:cstheme="minorHAnsi"/>
                <w:b/>
                <w:bCs/>
                <w:iCs/>
              </w:rPr>
              <w:t>Disclaimer:</w:t>
            </w:r>
            <w:r w:rsidRPr="00406823">
              <w:rPr>
                <w:rFonts w:asciiTheme="minorHAnsi" w:hAnsiTheme="minorHAnsi" w:cstheme="minorHAnsi"/>
                <w:i/>
              </w:rPr>
              <w:t xml:space="preserve"> HRECOS is a research project. No warranty—either express or implied—is made for any information presented by this program.</w:t>
            </w:r>
          </w:p>
        </w:tc>
      </w:tr>
      <w:tr w:rsidR="00B062CC" w:rsidRPr="003026F3" w14:paraId="1BF7563D" w14:textId="77777777" w:rsidTr="619A3A90">
        <w:tc>
          <w:tcPr>
            <w:tcW w:w="5469" w:type="dxa"/>
            <w:tcBorders>
              <w:right w:val="nil"/>
            </w:tcBorders>
          </w:tcPr>
          <w:p w14:paraId="1BF75631" w14:textId="77777777" w:rsidR="00B062CC" w:rsidRPr="003026F3" w:rsidRDefault="00B062CC" w:rsidP="008C65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026F3">
              <w:rPr>
                <w:rFonts w:cstheme="minorHAnsi"/>
                <w:b/>
                <w:sz w:val="24"/>
                <w:szCs w:val="24"/>
              </w:rPr>
              <w:t>Contacts</w:t>
            </w:r>
            <w:r w:rsidRPr="003026F3">
              <w:rPr>
                <w:rFonts w:cstheme="minorHAnsi"/>
                <w:sz w:val="24"/>
                <w:szCs w:val="24"/>
              </w:rPr>
              <w:t>:</w:t>
            </w:r>
          </w:p>
          <w:p w14:paraId="1BF75632" w14:textId="3C183A34" w:rsidR="00B062CC" w:rsidRPr="003026F3" w:rsidRDefault="3B4C0DB3" w:rsidP="241A8E0C">
            <w:pPr>
              <w:ind w:left="540"/>
              <w:rPr>
                <w:sz w:val="24"/>
                <w:szCs w:val="24"/>
              </w:rPr>
            </w:pPr>
            <w:r w:rsidRPr="241A8E0C">
              <w:rPr>
                <w:sz w:val="24"/>
                <w:szCs w:val="24"/>
              </w:rPr>
              <w:t>Brittney Flaten</w:t>
            </w:r>
            <w:r w:rsidR="008367CD" w:rsidRPr="241A8E0C">
              <w:rPr>
                <w:sz w:val="24"/>
                <w:szCs w:val="24"/>
              </w:rPr>
              <w:t>, HR</w:t>
            </w:r>
            <w:r w:rsidR="00B062CC" w:rsidRPr="241A8E0C">
              <w:rPr>
                <w:sz w:val="24"/>
                <w:szCs w:val="24"/>
              </w:rPr>
              <w:t>ECOS Coordinator</w:t>
            </w:r>
          </w:p>
          <w:p w14:paraId="1BF75633" w14:textId="77777777" w:rsidR="00B062CC" w:rsidRDefault="00B062CC" w:rsidP="00892E34">
            <w:pPr>
              <w:ind w:left="540"/>
              <w:rPr>
                <w:rFonts w:cstheme="minorHAnsi"/>
                <w:sz w:val="24"/>
                <w:szCs w:val="24"/>
              </w:rPr>
            </w:pPr>
            <w:r w:rsidRPr="241A8E0C">
              <w:rPr>
                <w:sz w:val="24"/>
                <w:szCs w:val="24"/>
              </w:rPr>
              <w:t>NY State Dept. of Environmental Conservation</w:t>
            </w:r>
          </w:p>
          <w:p w14:paraId="22EA2A92" w14:textId="77777777" w:rsidR="00CD4838" w:rsidRDefault="4055B226" w:rsidP="00CD4838">
            <w:pPr>
              <w:spacing w:line="276" w:lineRule="auto"/>
              <w:ind w:left="540"/>
              <w:rPr>
                <w:sz w:val="24"/>
                <w:szCs w:val="24"/>
              </w:rPr>
            </w:pPr>
            <w:r w:rsidRPr="241A8E0C">
              <w:rPr>
                <w:sz w:val="24"/>
                <w:szCs w:val="24"/>
              </w:rPr>
              <w:t>256 Norrie Point Way, Staatsburg, NY 12580</w:t>
            </w:r>
          </w:p>
          <w:p w14:paraId="1BF75635" w14:textId="48AFFF83" w:rsidR="00B062CC" w:rsidRPr="00CD4838" w:rsidRDefault="00B062CC" w:rsidP="00CD4838">
            <w:pPr>
              <w:spacing w:line="276" w:lineRule="auto"/>
              <w:ind w:left="540"/>
            </w:pPr>
            <w:r w:rsidRPr="619A3A90">
              <w:rPr>
                <w:sz w:val="24"/>
                <w:szCs w:val="24"/>
              </w:rPr>
              <w:t xml:space="preserve">Phone: </w:t>
            </w:r>
            <w:r w:rsidR="13C727B6" w:rsidRPr="619A3A90">
              <w:rPr>
                <w:sz w:val="24"/>
                <w:szCs w:val="24"/>
              </w:rPr>
              <w:t>845-889-4745</w:t>
            </w:r>
            <w:r w:rsidR="79067716" w:rsidRPr="619A3A90">
              <w:rPr>
                <w:sz w:val="24"/>
                <w:szCs w:val="24"/>
              </w:rPr>
              <w:t xml:space="preserve"> x117</w:t>
            </w:r>
          </w:p>
          <w:p w14:paraId="1BF75636" w14:textId="280EEB0E" w:rsidR="00E04491" w:rsidRDefault="00B062CC" w:rsidP="00CD4838">
            <w:pPr>
              <w:tabs>
                <w:tab w:val="right" w:pos="5193"/>
              </w:tabs>
              <w:ind w:left="547"/>
              <w:rPr>
                <w:sz w:val="24"/>
                <w:szCs w:val="24"/>
              </w:rPr>
            </w:pPr>
            <w:r w:rsidRPr="241A8E0C">
              <w:rPr>
                <w:sz w:val="24"/>
                <w:szCs w:val="24"/>
              </w:rPr>
              <w:t xml:space="preserve">Email: </w:t>
            </w:r>
            <w:proofErr w:type="spellStart"/>
            <w:proofErr w:type="gramStart"/>
            <w:r w:rsidR="42E88FE7" w:rsidRPr="241A8E0C">
              <w:rPr>
                <w:sz w:val="24"/>
                <w:szCs w:val="24"/>
              </w:rPr>
              <w:t>brittney.flaten</w:t>
            </w:r>
            <w:proofErr w:type="spellEnd"/>
            <w:proofErr w:type="gramEnd"/>
            <w:r w:rsidR="001B02CF" w:rsidRPr="241A8E0C">
              <w:rPr>
                <w:sz w:val="24"/>
                <w:szCs w:val="24"/>
              </w:rPr>
              <w:t xml:space="preserve"> [at] dec.ny.gov</w:t>
            </w:r>
          </w:p>
        </w:tc>
        <w:tc>
          <w:tcPr>
            <w:tcW w:w="5409" w:type="dxa"/>
            <w:tcBorders>
              <w:left w:val="nil"/>
            </w:tcBorders>
          </w:tcPr>
          <w:p w14:paraId="1BF75637" w14:textId="77777777" w:rsidR="00B062CC" w:rsidRDefault="00B062CC" w:rsidP="002C7D18">
            <w:pPr>
              <w:spacing w:after="120"/>
              <w:ind w:left="547"/>
              <w:rPr>
                <w:rFonts w:cstheme="minorHAnsi"/>
                <w:sz w:val="24"/>
                <w:szCs w:val="24"/>
              </w:rPr>
            </w:pPr>
          </w:p>
          <w:p w14:paraId="1BF75638" w14:textId="5631AC6B" w:rsidR="00AE1F0B" w:rsidRDefault="5D52DEC6" w:rsidP="241A8E0C">
            <w:pPr>
              <w:ind w:left="540"/>
              <w:rPr>
                <w:sz w:val="24"/>
                <w:szCs w:val="24"/>
              </w:rPr>
            </w:pPr>
            <w:r w:rsidRPr="241A8E0C">
              <w:rPr>
                <w:sz w:val="24"/>
                <w:szCs w:val="24"/>
              </w:rPr>
              <w:t>Daniel Hayes</w:t>
            </w:r>
            <w:r w:rsidR="00AE1F0B" w:rsidRPr="241A8E0C">
              <w:rPr>
                <w:sz w:val="24"/>
                <w:szCs w:val="24"/>
              </w:rPr>
              <w:t>, Station Manager</w:t>
            </w:r>
          </w:p>
          <w:p w14:paraId="1BF75639" w14:textId="77777777" w:rsidR="00AE1F0B" w:rsidRDefault="00AE1F0B" w:rsidP="00AE1F0B">
            <w:pPr>
              <w:ind w:left="54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NY State Dept. of Environmental Conservation</w:t>
            </w:r>
          </w:p>
          <w:p w14:paraId="1BF7563A" w14:textId="77777777" w:rsidR="00AE1F0B" w:rsidRDefault="00AE1F0B" w:rsidP="00AE1F0B">
            <w:pPr>
              <w:ind w:left="547"/>
              <w:rPr>
                <w:rFonts w:cstheme="minorHAnsi"/>
                <w:sz w:val="24"/>
                <w:szCs w:val="24"/>
              </w:rPr>
            </w:pPr>
            <w:r w:rsidRPr="619A3A90">
              <w:rPr>
                <w:sz w:val="24"/>
                <w:szCs w:val="24"/>
              </w:rPr>
              <w:t>207 Genesee St., Utica, NY 13501</w:t>
            </w:r>
          </w:p>
          <w:p w14:paraId="1BF7563C" w14:textId="23F97831" w:rsidR="00E04491" w:rsidRPr="003026F3" w:rsidRDefault="00AE1F0B" w:rsidP="241A8E0C">
            <w:pPr>
              <w:ind w:left="547"/>
              <w:rPr>
                <w:sz w:val="24"/>
                <w:szCs w:val="24"/>
              </w:rPr>
            </w:pPr>
            <w:r w:rsidRPr="241A8E0C">
              <w:rPr>
                <w:sz w:val="24"/>
                <w:szCs w:val="24"/>
              </w:rPr>
              <w:t>Email:</w:t>
            </w:r>
            <w:r w:rsidR="1C3CE5E4" w:rsidRPr="241A8E0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1C3CE5E4" w:rsidRPr="241A8E0C">
              <w:rPr>
                <w:sz w:val="24"/>
                <w:szCs w:val="24"/>
              </w:rPr>
              <w:t>daniel.hayes</w:t>
            </w:r>
            <w:proofErr w:type="spellEnd"/>
            <w:proofErr w:type="gramEnd"/>
            <w:r w:rsidR="1C3CE5E4" w:rsidRPr="241A8E0C">
              <w:rPr>
                <w:sz w:val="24"/>
                <w:szCs w:val="24"/>
              </w:rPr>
              <w:t xml:space="preserve"> [at] dec.ny.gov</w:t>
            </w:r>
          </w:p>
        </w:tc>
      </w:tr>
      <w:tr w:rsidR="0018590C" w:rsidRPr="003026F3" w14:paraId="1BF75646" w14:textId="77777777" w:rsidTr="619A3A90">
        <w:tc>
          <w:tcPr>
            <w:tcW w:w="10878" w:type="dxa"/>
            <w:gridSpan w:val="2"/>
          </w:tcPr>
          <w:p w14:paraId="1BF7563E" w14:textId="77777777" w:rsidR="008B7E10" w:rsidRPr="003026F3" w:rsidRDefault="003C75E3" w:rsidP="008B7E1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Station details</w:t>
            </w:r>
            <w:r w:rsidR="0018590C" w:rsidRPr="003026F3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BF7563F" w14:textId="1A28E996" w:rsidR="003C75E3" w:rsidRPr="003C75E3" w:rsidRDefault="003C75E3" w:rsidP="003C75E3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Mohawk River at Ilion water quality monitoring station </w:t>
            </w:r>
            <w:r w:rsidRPr="003C75E3">
              <w:rPr>
                <w:rFonts w:asciiTheme="minorHAnsi" w:hAnsiTheme="minorHAnsi" w:cstheme="minorHAnsi"/>
              </w:rPr>
              <w:t xml:space="preserve">contributes to the </w:t>
            </w:r>
            <w:r>
              <w:rPr>
                <w:rFonts w:asciiTheme="minorHAnsi" w:hAnsiTheme="minorHAnsi" w:cstheme="minorHAnsi"/>
              </w:rPr>
              <w:t xml:space="preserve">NY State </w:t>
            </w:r>
            <w:r w:rsidR="000E5B50">
              <w:rPr>
                <w:rFonts w:asciiTheme="minorHAnsi" w:hAnsiTheme="minorHAnsi" w:cstheme="minorHAnsi"/>
              </w:rPr>
              <w:t>Department</w:t>
            </w:r>
            <w:r>
              <w:rPr>
                <w:rFonts w:asciiTheme="minorHAnsi" w:hAnsiTheme="minorHAnsi" w:cstheme="minorHAnsi"/>
              </w:rPr>
              <w:t xml:space="preserve"> of Environmental Conservation’s</w:t>
            </w:r>
            <w:r w:rsidRPr="003C75E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(NYSDEC) </w:t>
            </w:r>
            <w:r w:rsidRPr="003C75E3">
              <w:rPr>
                <w:rFonts w:asciiTheme="minorHAnsi" w:hAnsiTheme="minorHAnsi" w:cstheme="minorHAnsi"/>
              </w:rPr>
              <w:t xml:space="preserve">Statewide Water Quality Monitoring Program and will assist in the overall development of water management strategies to protect and improve New York's natural resources. Funding is provided by the </w:t>
            </w:r>
            <w:r w:rsidRPr="003B7F27">
              <w:rPr>
                <w:rFonts w:asciiTheme="minorHAnsi" w:hAnsiTheme="minorHAnsi" w:cstheme="minorHAnsi"/>
              </w:rPr>
              <w:t>NYSDEC Mohawk River Basin Program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C75E3">
              <w:rPr>
                <w:rFonts w:asciiTheme="minorHAnsi" w:hAnsiTheme="minorHAnsi" w:cstheme="minorHAnsi"/>
              </w:rPr>
              <w:t>and the New York State Environmental Protection Fund.</w:t>
            </w:r>
          </w:p>
          <w:p w14:paraId="1BF75640" w14:textId="77777777" w:rsidR="00245BE7" w:rsidRDefault="003C75E3" w:rsidP="007B291A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station </w:t>
            </w:r>
            <w:r w:rsidR="00F3557D">
              <w:rPr>
                <w:rFonts w:asciiTheme="minorHAnsi" w:hAnsiTheme="minorHAnsi" w:cstheme="minorHAnsi"/>
              </w:rPr>
              <w:t xml:space="preserve">is located on the shoreline </w:t>
            </w:r>
            <w:r w:rsidR="007B291A">
              <w:rPr>
                <w:rFonts w:asciiTheme="minorHAnsi" w:hAnsiTheme="minorHAnsi" w:cstheme="minorHAnsi"/>
              </w:rPr>
              <w:t>of</w:t>
            </w:r>
            <w:r w:rsidR="00F3557D">
              <w:rPr>
                <w:rFonts w:asciiTheme="minorHAnsi" w:hAnsiTheme="minorHAnsi" w:cstheme="minorHAnsi"/>
              </w:rPr>
              <w:t xml:space="preserve"> the Village of Ilion Marina and RV Park. </w:t>
            </w:r>
            <w:r w:rsidR="002976FA">
              <w:rPr>
                <w:rFonts w:asciiTheme="minorHAnsi" w:hAnsiTheme="minorHAnsi" w:cstheme="minorHAnsi"/>
              </w:rPr>
              <w:t xml:space="preserve">A YSI EXO2 sonde, which is </w:t>
            </w:r>
            <w:r w:rsidR="00F3557D">
              <w:rPr>
                <w:rFonts w:asciiTheme="minorHAnsi" w:hAnsiTheme="minorHAnsi" w:cstheme="minorHAnsi"/>
              </w:rPr>
              <w:t>housed in a perforated aluminum pipe mounted to the concrete bulkhead wall</w:t>
            </w:r>
            <w:r w:rsidR="002976FA">
              <w:rPr>
                <w:rFonts w:asciiTheme="minorHAnsi" w:hAnsiTheme="minorHAnsi" w:cstheme="minorHAnsi"/>
              </w:rPr>
              <w:t>,</w:t>
            </w:r>
            <w:r w:rsidR="00F3557D">
              <w:rPr>
                <w:rFonts w:asciiTheme="minorHAnsi" w:hAnsiTheme="minorHAnsi" w:cstheme="minorHAnsi"/>
              </w:rPr>
              <w:t xml:space="preserve"> sits 9.8 feet below the top of the wall. Total water depth at this location is </w:t>
            </w:r>
            <w:r w:rsidR="007B291A">
              <w:rPr>
                <w:rFonts w:asciiTheme="minorHAnsi" w:hAnsiTheme="minorHAnsi" w:cstheme="minorHAnsi"/>
              </w:rPr>
              <w:t>~</w:t>
            </w:r>
            <w:r w:rsidR="00F3557D">
              <w:rPr>
                <w:rFonts w:asciiTheme="minorHAnsi" w:hAnsiTheme="minorHAnsi" w:cstheme="minorHAnsi"/>
              </w:rPr>
              <w:t>11 feet.</w:t>
            </w:r>
            <w:r w:rsidR="000E5B50">
              <w:rPr>
                <w:rFonts w:asciiTheme="minorHAnsi" w:hAnsiTheme="minorHAnsi" w:cstheme="minorHAnsi"/>
              </w:rPr>
              <w:t xml:space="preserve"> </w:t>
            </w:r>
            <w:r w:rsidR="007B291A">
              <w:rPr>
                <w:rFonts w:asciiTheme="minorHAnsi" w:hAnsiTheme="minorHAnsi" w:cstheme="minorHAnsi"/>
              </w:rPr>
              <w:t>Measurements are taken at 15-minute intervals</w:t>
            </w:r>
            <w:r w:rsidR="000D0B2E">
              <w:rPr>
                <w:rFonts w:asciiTheme="minorHAnsi" w:hAnsiTheme="minorHAnsi" w:cstheme="minorHAnsi"/>
              </w:rPr>
              <w:t>. S</w:t>
            </w:r>
            <w:r w:rsidR="000D0B2E" w:rsidRPr="003026F3">
              <w:rPr>
                <w:rFonts w:asciiTheme="minorHAnsi" w:hAnsiTheme="minorHAnsi" w:cstheme="minorHAnsi"/>
              </w:rPr>
              <w:t xml:space="preserve">ee </w:t>
            </w:r>
            <w:r w:rsidR="000D0B2E">
              <w:rPr>
                <w:rFonts w:asciiTheme="minorHAnsi" w:hAnsiTheme="minorHAnsi" w:cstheme="minorHAnsi"/>
              </w:rPr>
              <w:t xml:space="preserve">Sensor Specifications section below for more information. </w:t>
            </w:r>
            <w:r w:rsidR="007B291A">
              <w:rPr>
                <w:rFonts w:asciiTheme="minorHAnsi" w:hAnsiTheme="minorHAnsi" w:cstheme="minorHAnsi"/>
              </w:rPr>
              <w:t xml:space="preserve">Data is </w:t>
            </w:r>
            <w:r w:rsidR="006579F8">
              <w:rPr>
                <w:rFonts w:asciiTheme="minorHAnsi" w:hAnsiTheme="minorHAnsi" w:cstheme="minorHAnsi"/>
              </w:rPr>
              <w:t>logged</w:t>
            </w:r>
            <w:r w:rsidR="007B291A">
              <w:rPr>
                <w:rFonts w:asciiTheme="minorHAnsi" w:hAnsiTheme="minorHAnsi" w:cstheme="minorHAnsi"/>
              </w:rPr>
              <w:t xml:space="preserve"> to a Campbell Scientific CR800 datalogger, then to the HRECOS database via cell modem hourly.</w:t>
            </w:r>
          </w:p>
          <w:p w14:paraId="1BF75641" w14:textId="228F9559" w:rsidR="00F3557D" w:rsidRDefault="00F3557D" w:rsidP="008D2128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 depth</w:t>
            </w:r>
            <w:r w:rsidR="007B291A">
              <w:rPr>
                <w:rFonts w:asciiTheme="minorHAnsi" w:hAnsiTheme="minorHAnsi" w:cstheme="minorHAnsi"/>
              </w:rPr>
              <w:t xml:space="preserve"> (relative to sonde)</w:t>
            </w:r>
            <w:r>
              <w:rPr>
                <w:rFonts w:asciiTheme="minorHAnsi" w:hAnsiTheme="minorHAnsi" w:cstheme="minorHAnsi"/>
              </w:rPr>
              <w:t xml:space="preserve"> is measured by the sonde’s pressure sensor, which is naturally affected by variations in atmospheric (barometric) pressure. </w:t>
            </w:r>
            <w:r w:rsidR="00A12D40">
              <w:rPr>
                <w:rFonts w:asciiTheme="minorHAnsi" w:hAnsiTheme="minorHAnsi" w:cstheme="minorHAnsi"/>
              </w:rPr>
              <w:t>Therefore,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976FA">
              <w:rPr>
                <w:rFonts w:asciiTheme="minorHAnsi" w:hAnsiTheme="minorHAnsi" w:cstheme="minorHAnsi"/>
              </w:rPr>
              <w:t>station is equipped with a CS106 barometer which is used to correct for this phenomenon in real-time, using the following equation:</w:t>
            </w:r>
          </w:p>
          <w:p w14:paraId="1BF75642" w14:textId="77777777" w:rsidR="002976FA" w:rsidRDefault="002976FA" w:rsidP="002976FA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FD7EA6">
              <w:rPr>
                <w:rFonts w:asciiTheme="minorHAnsi" w:hAnsiTheme="minorHAnsi" w:cstheme="minorHAnsi"/>
                <w:i/>
              </w:rPr>
              <w:t>Corrected Depth = Depth + ((1013</w:t>
            </w:r>
            <w:r>
              <w:rPr>
                <w:rFonts w:asciiTheme="minorHAnsi" w:hAnsiTheme="minorHAnsi" w:cstheme="minorHAnsi"/>
                <w:i/>
              </w:rPr>
              <w:t>- Barometric Pressure) * .0102)</w:t>
            </w:r>
          </w:p>
          <w:p w14:paraId="1BF75645" w14:textId="10186250" w:rsidR="001B02CF" w:rsidRPr="002C7D18" w:rsidRDefault="00B92513" w:rsidP="006C07D4">
            <w:pPr>
              <w:pStyle w:val="Default"/>
              <w:spacing w:after="120"/>
              <w:ind w:left="547"/>
            </w:pPr>
            <w:r w:rsidRPr="619A3A90">
              <w:rPr>
                <w:rFonts w:asciiTheme="minorHAnsi" w:hAnsiTheme="minorHAnsi" w:cstheme="minorBidi"/>
                <w:i/>
                <w:iCs/>
                <w:vertAlign w:val="superscript"/>
              </w:rPr>
              <w:t>1</w:t>
            </w:r>
            <w:r w:rsidR="00245BE7" w:rsidRPr="619A3A90">
              <w:rPr>
                <w:rFonts w:asciiTheme="minorHAnsi" w:hAnsiTheme="minorHAnsi" w:cstheme="minorBidi"/>
                <w:i/>
                <w:iCs/>
                <w:u w:val="single"/>
              </w:rPr>
              <w:t xml:space="preserve">Frankfort </w:t>
            </w:r>
            <w:r w:rsidR="00BD4157" w:rsidRPr="619A3A90">
              <w:rPr>
                <w:rFonts w:asciiTheme="minorHAnsi" w:hAnsiTheme="minorHAnsi" w:cstheme="minorBidi"/>
                <w:u w:val="single"/>
              </w:rPr>
              <w:t xml:space="preserve">buoy station </w:t>
            </w:r>
            <w:r w:rsidR="00BD4157" w:rsidRPr="619A3A90">
              <w:rPr>
                <w:rFonts w:asciiTheme="minorHAnsi" w:hAnsiTheme="minorHAnsi" w:cstheme="minorBidi"/>
                <w:i/>
                <w:iCs/>
                <w:u w:val="single"/>
              </w:rPr>
              <w:t>(discontinued)</w:t>
            </w:r>
            <w:r w:rsidR="00245BE7" w:rsidRPr="619A3A90">
              <w:rPr>
                <w:rFonts w:asciiTheme="minorHAnsi" w:hAnsiTheme="minorHAnsi" w:cstheme="minorBidi"/>
                <w:u w:val="single"/>
              </w:rPr>
              <w:t>:</w:t>
            </w:r>
            <w:r w:rsidR="00245BE7" w:rsidRPr="619A3A90">
              <w:rPr>
                <w:rFonts w:asciiTheme="minorHAnsi" w:hAnsiTheme="minorHAnsi" w:cstheme="minorBidi"/>
              </w:rPr>
              <w:t xml:space="preserve"> </w:t>
            </w:r>
            <w:r w:rsidR="005D0AAE" w:rsidRPr="619A3A90">
              <w:rPr>
                <w:rFonts w:asciiTheme="minorHAnsi" w:hAnsiTheme="minorHAnsi" w:cstheme="minorBidi"/>
              </w:rPr>
              <w:t xml:space="preserve">The </w:t>
            </w:r>
            <w:r w:rsidR="00245BE7" w:rsidRPr="619A3A90">
              <w:rPr>
                <w:rFonts w:asciiTheme="minorHAnsi" w:hAnsiTheme="minorHAnsi" w:cstheme="minorBidi"/>
              </w:rPr>
              <w:t>previous iteration of this monitoring project was a</w:t>
            </w:r>
            <w:r w:rsidR="000D0B2E" w:rsidRPr="619A3A90">
              <w:rPr>
                <w:rFonts w:asciiTheme="minorHAnsi" w:hAnsiTheme="minorHAnsi" w:cstheme="minorBidi"/>
              </w:rPr>
              <w:t xml:space="preserve"> YSI EMM68</w:t>
            </w:r>
            <w:r w:rsidR="00245BE7" w:rsidRPr="619A3A90">
              <w:rPr>
                <w:rFonts w:asciiTheme="minorHAnsi" w:hAnsiTheme="minorHAnsi" w:cstheme="minorBidi"/>
              </w:rPr>
              <w:t xml:space="preserve"> </w:t>
            </w:r>
            <w:r w:rsidR="00140D55" w:rsidRPr="619A3A90">
              <w:rPr>
                <w:rFonts w:asciiTheme="minorHAnsi" w:hAnsiTheme="minorHAnsi" w:cstheme="minorBidi"/>
              </w:rPr>
              <w:t>buoy anchored ~1000 ft upstream of the Frankfort Marina in Frankfort, NY</w:t>
            </w:r>
            <w:r w:rsidR="00245BE7" w:rsidRPr="619A3A90">
              <w:rPr>
                <w:rFonts w:asciiTheme="minorHAnsi" w:hAnsiTheme="minorHAnsi" w:cstheme="minorBidi"/>
              </w:rPr>
              <w:t xml:space="preserve">, </w:t>
            </w:r>
            <w:r w:rsidR="000D0B2E" w:rsidRPr="619A3A90">
              <w:rPr>
                <w:rFonts w:asciiTheme="minorHAnsi" w:hAnsiTheme="minorHAnsi" w:cstheme="minorBidi"/>
              </w:rPr>
              <w:t xml:space="preserve">which is </w:t>
            </w:r>
            <w:r w:rsidR="00245BE7" w:rsidRPr="619A3A90">
              <w:rPr>
                <w:rFonts w:asciiTheme="minorHAnsi" w:hAnsiTheme="minorHAnsi" w:cstheme="minorBidi"/>
              </w:rPr>
              <w:t xml:space="preserve">about 3 miles upriver </w:t>
            </w:r>
            <w:r w:rsidR="000D0B2E" w:rsidRPr="619A3A90">
              <w:rPr>
                <w:rFonts w:asciiTheme="minorHAnsi" w:hAnsiTheme="minorHAnsi" w:cstheme="minorBidi"/>
              </w:rPr>
              <w:t>of the current location on the non-canal section of the Mohawk</w:t>
            </w:r>
            <w:r w:rsidR="005D0AAE" w:rsidRPr="619A3A90">
              <w:rPr>
                <w:rFonts w:asciiTheme="minorHAnsi" w:hAnsiTheme="minorHAnsi" w:cstheme="minorBidi"/>
              </w:rPr>
              <w:t xml:space="preserve">. </w:t>
            </w:r>
            <w:r w:rsidR="004F3586" w:rsidRPr="619A3A90">
              <w:rPr>
                <w:rFonts w:asciiTheme="minorHAnsi" w:hAnsiTheme="minorHAnsi" w:cstheme="minorBidi"/>
              </w:rPr>
              <w:t>The</w:t>
            </w:r>
            <w:r w:rsidR="000D0B2E" w:rsidRPr="619A3A90">
              <w:rPr>
                <w:rFonts w:asciiTheme="minorHAnsi" w:hAnsiTheme="minorHAnsi" w:cstheme="minorBidi"/>
              </w:rPr>
              <w:t xml:space="preserve"> water depth at this location was</w:t>
            </w:r>
            <w:r w:rsidR="00485FEC" w:rsidRPr="619A3A90">
              <w:rPr>
                <w:rFonts w:asciiTheme="minorHAnsi" w:hAnsiTheme="minorHAnsi" w:cstheme="minorBidi"/>
              </w:rPr>
              <w:t xml:space="preserve"> </w:t>
            </w:r>
            <w:r w:rsidR="00AD22FE" w:rsidRPr="619A3A90">
              <w:rPr>
                <w:rFonts w:asciiTheme="minorHAnsi" w:hAnsiTheme="minorHAnsi" w:cstheme="minorBidi"/>
              </w:rPr>
              <w:t>~17 ft</w:t>
            </w:r>
            <w:r w:rsidR="004F3586" w:rsidRPr="619A3A90">
              <w:rPr>
                <w:rFonts w:asciiTheme="minorHAnsi" w:hAnsiTheme="minorHAnsi" w:cstheme="minorBidi"/>
              </w:rPr>
              <w:t xml:space="preserve">. </w:t>
            </w:r>
            <w:r w:rsidR="005D0AAE" w:rsidRPr="619A3A90">
              <w:rPr>
                <w:rFonts w:asciiTheme="minorHAnsi" w:hAnsiTheme="minorHAnsi" w:cstheme="minorBidi"/>
              </w:rPr>
              <w:t xml:space="preserve">Sensors </w:t>
            </w:r>
            <w:r w:rsidR="004F3586" w:rsidRPr="619A3A90">
              <w:rPr>
                <w:rFonts w:asciiTheme="minorHAnsi" w:hAnsiTheme="minorHAnsi" w:cstheme="minorBidi"/>
              </w:rPr>
              <w:t>reside</w:t>
            </w:r>
            <w:r w:rsidR="000D0B2E" w:rsidRPr="619A3A90">
              <w:rPr>
                <w:rFonts w:asciiTheme="minorHAnsi" w:hAnsiTheme="minorHAnsi" w:cstheme="minorBidi"/>
              </w:rPr>
              <w:t>d</w:t>
            </w:r>
            <w:r w:rsidR="005D0AAE" w:rsidRPr="619A3A90">
              <w:rPr>
                <w:rFonts w:asciiTheme="minorHAnsi" w:hAnsiTheme="minorHAnsi" w:cstheme="minorBidi"/>
              </w:rPr>
              <w:t xml:space="preserve"> </w:t>
            </w:r>
            <w:r w:rsidR="00836CC0" w:rsidRPr="619A3A90">
              <w:rPr>
                <w:rFonts w:asciiTheme="minorHAnsi" w:hAnsiTheme="minorHAnsi" w:cstheme="minorBidi"/>
              </w:rPr>
              <w:t xml:space="preserve">1 m </w:t>
            </w:r>
            <w:r w:rsidR="00140D55" w:rsidRPr="619A3A90">
              <w:rPr>
                <w:rFonts w:asciiTheme="minorHAnsi" w:hAnsiTheme="minorHAnsi" w:cstheme="minorBidi"/>
              </w:rPr>
              <w:t>below the water surface</w:t>
            </w:r>
            <w:r w:rsidR="005D0AAE" w:rsidRPr="619A3A90">
              <w:rPr>
                <w:rFonts w:asciiTheme="minorHAnsi" w:hAnsiTheme="minorHAnsi" w:cstheme="minorBidi"/>
              </w:rPr>
              <w:t>.</w:t>
            </w:r>
            <w:r w:rsidR="00C22B1F" w:rsidRPr="619A3A90">
              <w:rPr>
                <w:rFonts w:asciiTheme="minorHAnsi" w:hAnsiTheme="minorHAnsi" w:cstheme="minorBidi"/>
              </w:rPr>
              <w:t xml:space="preserve"> </w:t>
            </w:r>
            <w:r w:rsidR="000D0B2E" w:rsidRPr="619A3A90">
              <w:rPr>
                <w:rFonts w:asciiTheme="minorHAnsi" w:hAnsiTheme="minorHAnsi" w:cstheme="minorBidi"/>
              </w:rPr>
              <w:t xml:space="preserve">The parameters recorded were the same as </w:t>
            </w:r>
            <w:r w:rsidR="004734E6" w:rsidRPr="619A3A90">
              <w:rPr>
                <w:rFonts w:asciiTheme="minorHAnsi" w:hAnsiTheme="minorHAnsi" w:cstheme="minorBidi"/>
              </w:rPr>
              <w:t xml:space="preserve">those recorded at Ilion, </w:t>
            </w:r>
            <w:r w:rsidR="00A12D40" w:rsidRPr="619A3A90">
              <w:rPr>
                <w:rFonts w:asciiTheme="minorHAnsi" w:hAnsiTheme="minorHAnsi" w:cstheme="minorBidi"/>
              </w:rPr>
              <w:t>except for</w:t>
            </w:r>
            <w:r w:rsidR="004734E6" w:rsidRPr="619A3A90">
              <w:rPr>
                <w:rFonts w:asciiTheme="minorHAnsi" w:hAnsiTheme="minorHAnsi" w:cstheme="minorBidi"/>
              </w:rPr>
              <w:t xml:space="preserve"> water depth. The Frankfort buoy station was discontinued in July 2014 after multiple equipment failures </w:t>
            </w:r>
            <w:r w:rsidR="00A12D40" w:rsidRPr="619A3A90">
              <w:rPr>
                <w:rFonts w:asciiTheme="minorHAnsi" w:hAnsiTheme="minorHAnsi" w:cstheme="minorBidi"/>
              </w:rPr>
              <w:t>because of</w:t>
            </w:r>
            <w:r w:rsidR="004734E6" w:rsidRPr="619A3A90">
              <w:rPr>
                <w:rFonts w:asciiTheme="minorHAnsi" w:hAnsiTheme="minorHAnsi" w:cstheme="minorBidi"/>
              </w:rPr>
              <w:t xml:space="preserve"> damage from major flooding and debris collisions.</w:t>
            </w:r>
            <w:r>
              <w:t xml:space="preserve"> </w:t>
            </w:r>
          </w:p>
        </w:tc>
      </w:tr>
      <w:tr w:rsidR="00CB5895" w:rsidRPr="003026F3" w14:paraId="1BF756D9" w14:textId="77777777" w:rsidTr="619A3A90">
        <w:tc>
          <w:tcPr>
            <w:tcW w:w="10878" w:type="dxa"/>
            <w:gridSpan w:val="2"/>
          </w:tcPr>
          <w:p w14:paraId="1BF756CB" w14:textId="77777777" w:rsidR="00DB2ADA" w:rsidRDefault="00DB2ADA" w:rsidP="00CB453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241A8E0C">
              <w:rPr>
                <w:rFonts w:asciiTheme="minorHAnsi" w:hAnsiTheme="minorHAnsi" w:cstheme="minorBidi"/>
                <w:b/>
                <w:bCs/>
              </w:rPr>
              <w:t>Special remarks / notes:</w:t>
            </w:r>
          </w:p>
          <w:p w14:paraId="7826136F" w14:textId="57D587FC" w:rsidR="526BA796" w:rsidRDefault="526BA796" w:rsidP="241A8E0C">
            <w:pPr>
              <w:pStyle w:val="Default"/>
              <w:numPr>
                <w:ilvl w:val="0"/>
                <w:numId w:val="2"/>
              </w:numPr>
              <w:rPr>
                <w:rFonts w:eastAsia="Calibri"/>
                <w:color w:val="000000" w:themeColor="text1"/>
              </w:rPr>
            </w:pPr>
            <w:r w:rsidRPr="241A8E0C">
              <w:rPr>
                <w:rFonts w:asciiTheme="minorHAnsi" w:hAnsiTheme="minorHAnsi" w:cstheme="minorBidi"/>
              </w:rPr>
              <w:t>Sonde is pulled every winter when Mohawk River levels are drawn down.</w:t>
            </w:r>
          </w:p>
          <w:p w14:paraId="1BF756CD" w14:textId="77777777" w:rsidR="00DB2ADA" w:rsidRDefault="00DB2ADA" w:rsidP="00CB453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1BF756CE" w14:textId="77777777" w:rsidR="00CB4534" w:rsidRPr="00000B65" w:rsidRDefault="00752BFE" w:rsidP="00000B65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000B65">
              <w:rPr>
                <w:rFonts w:asciiTheme="minorHAnsi" w:hAnsiTheme="minorHAnsi" w:cstheme="minorHAnsi"/>
                <w:bCs/>
                <w:i/>
              </w:rPr>
              <w:t>Frankfort</w:t>
            </w:r>
            <w:r w:rsidR="00C318A6">
              <w:rPr>
                <w:rFonts w:asciiTheme="minorHAnsi" w:hAnsiTheme="minorHAnsi" w:cstheme="minorHAnsi"/>
                <w:bCs/>
                <w:i/>
              </w:rPr>
              <w:t xml:space="preserve"> buoy</w:t>
            </w:r>
            <w:r w:rsidRPr="00000B65">
              <w:rPr>
                <w:rFonts w:asciiTheme="minorHAnsi" w:hAnsiTheme="minorHAnsi" w:cstheme="minorHAnsi"/>
                <w:bCs/>
                <w:i/>
              </w:rPr>
              <w:t xml:space="preserve"> station</w:t>
            </w:r>
            <w:r w:rsidR="00DB2ADA" w:rsidRPr="00000B65">
              <w:rPr>
                <w:rFonts w:asciiTheme="minorHAnsi" w:hAnsiTheme="minorHAnsi" w:cstheme="minorHAnsi"/>
                <w:bCs/>
                <w:i/>
              </w:rPr>
              <w:t xml:space="preserve"> notes (discontinued):</w:t>
            </w:r>
          </w:p>
          <w:p w14:paraId="1BF756CF" w14:textId="77777777" w:rsidR="0031264F" w:rsidRDefault="00AD22FE" w:rsidP="0031264F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Turbidity was not recorded</w:t>
            </w:r>
            <w:r w:rsidR="00726331">
              <w:rPr>
                <w:rFonts w:asciiTheme="minorHAnsi" w:hAnsiTheme="minorHAnsi" w:cstheme="minorHAnsi"/>
              </w:rPr>
              <w:t xml:space="preserve"> until 8/23/2013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26331">
              <w:rPr>
                <w:rFonts w:asciiTheme="minorHAnsi" w:hAnsiTheme="minorHAnsi" w:cstheme="minorHAnsi"/>
              </w:rPr>
              <w:t xml:space="preserve">due to </w:t>
            </w:r>
            <w:r w:rsidR="00986D63">
              <w:rPr>
                <w:rFonts w:asciiTheme="minorHAnsi" w:hAnsiTheme="minorHAnsi" w:cstheme="minorHAnsi"/>
              </w:rPr>
              <w:t>programming</w:t>
            </w:r>
            <w:r w:rsidR="00726331">
              <w:rPr>
                <w:rFonts w:asciiTheme="minorHAnsi" w:hAnsiTheme="minorHAnsi" w:cstheme="minorHAnsi"/>
              </w:rPr>
              <w:t xml:space="preserve"> issues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BF756D0" w14:textId="77777777" w:rsidR="00AD22FE" w:rsidRDefault="00726331" w:rsidP="00AD22FE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5/31 – 6/16/2013: </w:t>
            </w:r>
            <w:r w:rsidR="00AD22FE">
              <w:rPr>
                <w:rFonts w:asciiTheme="minorHAnsi" w:hAnsiTheme="minorHAnsi" w:cstheme="minorHAnsi"/>
              </w:rPr>
              <w:t xml:space="preserve">Power supply issues caused data to be recorded </w:t>
            </w:r>
            <w:r>
              <w:rPr>
                <w:rFonts w:asciiTheme="minorHAnsi" w:hAnsiTheme="minorHAnsi" w:cstheme="minorHAnsi"/>
              </w:rPr>
              <w:t xml:space="preserve">only </w:t>
            </w:r>
            <w:r w:rsidR="00AD22FE">
              <w:rPr>
                <w:rFonts w:asciiTheme="minorHAnsi" w:hAnsiTheme="minorHAnsi" w:cstheme="minorHAnsi"/>
              </w:rPr>
              <w:t>during daylight when solar panels were active.</w:t>
            </w:r>
          </w:p>
          <w:p w14:paraId="1BF756D1" w14:textId="4B527622" w:rsidR="00726331" w:rsidRDefault="00726331" w:rsidP="00726331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Station was damaged and disabled </w:t>
            </w:r>
            <w:r w:rsidR="00A12D40">
              <w:rPr>
                <w:rFonts w:asciiTheme="minorHAnsi" w:hAnsiTheme="minorHAnsi" w:cstheme="minorHAnsi"/>
              </w:rPr>
              <w:t>because of</w:t>
            </w:r>
            <w:r>
              <w:rPr>
                <w:rFonts w:asciiTheme="minorHAnsi" w:hAnsiTheme="minorHAnsi" w:cstheme="minorHAnsi"/>
              </w:rPr>
              <w:t xml:space="preserve"> major flooding between 6/10 – 6/15/2013. Station was retrieved for repair on 6/20.</w:t>
            </w:r>
          </w:p>
          <w:p w14:paraId="1BF756D2" w14:textId="77777777" w:rsidR="00726331" w:rsidRDefault="00726331" w:rsidP="00726331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8/1/2013: Repaired station redeployed. Conductivity units now reporting correctly. Power supply issues continued.</w:t>
            </w:r>
          </w:p>
          <w:p w14:paraId="1BF756D3" w14:textId="77777777" w:rsidR="00726331" w:rsidRDefault="00726331" w:rsidP="00726331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8/16/2013: Station retrieved for troubleshooting power supply issues.</w:t>
            </w:r>
          </w:p>
          <w:p w14:paraId="1BF756D4" w14:textId="4B870337" w:rsidR="00726331" w:rsidRDefault="00726331" w:rsidP="00726331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8/23/2013: Station redeployed and </w:t>
            </w:r>
            <w:r w:rsidR="00A12D40">
              <w:rPr>
                <w:rFonts w:asciiTheme="minorHAnsi" w:hAnsiTheme="minorHAnsi" w:cstheme="minorHAnsi"/>
              </w:rPr>
              <w:t>fully functional</w:t>
            </w:r>
            <w:r w:rsidR="0044785A">
              <w:rPr>
                <w:rFonts w:asciiTheme="minorHAnsi" w:hAnsiTheme="minorHAnsi" w:cstheme="minorHAnsi"/>
              </w:rPr>
              <w:t>.</w:t>
            </w:r>
          </w:p>
          <w:p w14:paraId="1BF756D5" w14:textId="77777777" w:rsidR="00986D63" w:rsidRDefault="00986D63" w:rsidP="00986D63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10/14/2013: pH sensor failed and </w:t>
            </w:r>
            <w:r w:rsidR="006579F8">
              <w:rPr>
                <w:rFonts w:asciiTheme="minorHAnsi" w:hAnsiTheme="minorHAnsi" w:cstheme="minorHAnsi"/>
              </w:rPr>
              <w:t>was</w:t>
            </w:r>
            <w:r>
              <w:rPr>
                <w:rFonts w:asciiTheme="minorHAnsi" w:hAnsiTheme="minorHAnsi" w:cstheme="minorHAnsi"/>
              </w:rPr>
              <w:t xml:space="preserve"> not replaced for the remainder of 2013 deployment.</w:t>
            </w:r>
          </w:p>
          <w:p w14:paraId="1BF756D6" w14:textId="77777777" w:rsidR="00986D63" w:rsidRDefault="00986D63" w:rsidP="00986D63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11/5/2013: Buoy retrieved for winter season.</w:t>
            </w:r>
          </w:p>
          <w:p w14:paraId="1BF756D7" w14:textId="77777777" w:rsidR="00986D63" w:rsidRDefault="002F1803" w:rsidP="00986D63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5/6/2014: Buoy </w:t>
            </w:r>
            <w:r w:rsidR="00986D63">
              <w:rPr>
                <w:rFonts w:asciiTheme="minorHAnsi" w:hAnsiTheme="minorHAnsi" w:cstheme="minorHAnsi"/>
              </w:rPr>
              <w:t>deployed for 2014 season.</w:t>
            </w:r>
          </w:p>
          <w:p w14:paraId="1BF756D8" w14:textId="77777777" w:rsidR="00204096" w:rsidRPr="00D85493" w:rsidRDefault="000F5106" w:rsidP="000F5106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</w:t>
            </w:r>
            <w:r w:rsidR="00204096">
              <w:rPr>
                <w:rFonts w:asciiTheme="minorHAnsi" w:hAnsiTheme="minorHAnsi" w:cstheme="minorHAnsi"/>
              </w:rPr>
              <w:t xml:space="preserve"> 2014: </w:t>
            </w:r>
            <w:r>
              <w:rPr>
                <w:rFonts w:asciiTheme="minorHAnsi" w:hAnsiTheme="minorHAnsi" w:cstheme="minorHAnsi"/>
              </w:rPr>
              <w:t>Transmission cut out and b</w:t>
            </w:r>
            <w:r w:rsidR="00204096">
              <w:rPr>
                <w:rFonts w:asciiTheme="minorHAnsi" w:hAnsiTheme="minorHAnsi" w:cstheme="minorHAnsi"/>
              </w:rPr>
              <w:t xml:space="preserve">uoy </w:t>
            </w:r>
            <w:r>
              <w:rPr>
                <w:rFonts w:asciiTheme="minorHAnsi" w:hAnsiTheme="minorHAnsi" w:cstheme="minorHAnsi"/>
              </w:rPr>
              <w:t>damaged due to heavy flooding and floating debris in the river. Station pulled indefinitely.</w:t>
            </w:r>
          </w:p>
        </w:tc>
      </w:tr>
      <w:tr w:rsidR="00B43E29" w:rsidRPr="003026F3" w14:paraId="1BF756DC" w14:textId="77777777" w:rsidTr="619A3A90">
        <w:tc>
          <w:tcPr>
            <w:tcW w:w="10878" w:type="dxa"/>
            <w:gridSpan w:val="2"/>
          </w:tcPr>
          <w:p w14:paraId="1BF756DA" w14:textId="77777777" w:rsidR="00B43E29" w:rsidRPr="003026F3" w:rsidRDefault="00B43E29" w:rsidP="00B43E29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026F3">
              <w:rPr>
                <w:rFonts w:cstheme="minorHAnsi"/>
                <w:b/>
                <w:sz w:val="24"/>
                <w:szCs w:val="24"/>
              </w:rPr>
              <w:lastRenderedPageBreak/>
              <w:t>Distribution terms:</w:t>
            </w:r>
          </w:p>
          <w:p w14:paraId="1BF756DB" w14:textId="77777777" w:rsidR="00B43E29" w:rsidRPr="003026F3" w:rsidRDefault="00B43E29" w:rsidP="00B43E29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</w:rPr>
            </w:pPr>
            <w:r w:rsidRPr="003026F3">
              <w:rPr>
                <w:rFonts w:asciiTheme="minorHAnsi" w:hAnsiTheme="minorHAnsi" w:cstheme="minorHAnsi"/>
              </w:rPr>
              <w:t xml:space="preserve">HRECOS requests that attribution be given whenever HRECOS material is reproduced and re-disseminated </w:t>
            </w:r>
            <w:r w:rsidRPr="00EB27B7">
              <w:rPr>
                <w:rFonts w:asciiTheme="minorHAnsi" w:hAnsiTheme="minorHAnsi" w:cstheme="minorHAnsi"/>
              </w:rPr>
              <w:t xml:space="preserve">and the HRECOS Coordinator be </w:t>
            </w:r>
            <w:r>
              <w:rPr>
                <w:rFonts w:asciiTheme="minorHAnsi" w:hAnsiTheme="minorHAnsi" w:cstheme="minorHAnsi"/>
              </w:rPr>
              <w:t>notified</w:t>
            </w:r>
            <w:r w:rsidRPr="00EB27B7">
              <w:rPr>
                <w:rFonts w:asciiTheme="minorHAnsi" w:hAnsiTheme="minorHAnsi" w:cstheme="minorHAnsi"/>
              </w:rPr>
              <w:t xml:space="preserve"> prior to publications including any part of the data</w:t>
            </w:r>
            <w:r w:rsidRPr="003026F3">
              <w:rPr>
                <w:rFonts w:asciiTheme="minorHAnsi" w:hAnsiTheme="minorHAnsi" w:cstheme="minorHAnsi"/>
              </w:rPr>
              <w:t xml:space="preserve">. Example citation: </w:t>
            </w:r>
            <w:r>
              <w:rPr>
                <w:rFonts w:asciiTheme="minorHAnsi" w:hAnsiTheme="minorHAnsi" w:cstheme="minorHAnsi"/>
              </w:rPr>
              <w:t>“Hudson River Environmental Conditions Observing System. 2013. Mohawk River at Ilion water quality monitoring station data. Accessed April 13</w:t>
            </w:r>
            <w:r w:rsidRPr="005961D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, 2013. </w:t>
            </w:r>
            <w:hyperlink r:id="rId14" w:history="1">
              <w:r w:rsidRPr="00487554">
                <w:rPr>
                  <w:rStyle w:val="Hyperlink"/>
                  <w:rFonts w:asciiTheme="minorHAnsi" w:hAnsiTheme="minorHAnsi" w:cstheme="minorHAnsi"/>
                </w:rPr>
                <w:t>http://www.hrecos.org/</w:t>
              </w:r>
            </w:hyperlink>
            <w:r>
              <w:rPr>
                <w:rFonts w:asciiTheme="minorHAnsi" w:hAnsiTheme="minorHAnsi" w:cstheme="minorHAnsi"/>
              </w:rPr>
              <w:t>.”</w:t>
            </w:r>
          </w:p>
        </w:tc>
      </w:tr>
      <w:tr w:rsidR="00B43E29" w:rsidRPr="003026F3" w14:paraId="1BF756DF" w14:textId="77777777" w:rsidTr="619A3A90">
        <w:tc>
          <w:tcPr>
            <w:tcW w:w="10878" w:type="dxa"/>
            <w:gridSpan w:val="2"/>
          </w:tcPr>
          <w:p w14:paraId="1BF756DD" w14:textId="77777777" w:rsidR="00B43E29" w:rsidRPr="003026F3" w:rsidRDefault="00B43E29" w:rsidP="00B43E29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Data </w:t>
            </w:r>
            <w:r w:rsidRPr="003026F3">
              <w:rPr>
                <w:rFonts w:cstheme="minorHAnsi"/>
                <w:b/>
                <w:sz w:val="24"/>
                <w:szCs w:val="24"/>
              </w:rPr>
              <w:t>Quality Assurance:</w:t>
            </w:r>
          </w:p>
          <w:p w14:paraId="1BF756DE" w14:textId="574F04D2" w:rsidR="00B43E29" w:rsidRPr="003026F3" w:rsidRDefault="00B43E29" w:rsidP="454B8703">
            <w:pPr>
              <w:pStyle w:val="Default"/>
              <w:spacing w:after="120"/>
              <w:ind w:left="547"/>
              <w:rPr>
                <w:rFonts w:asciiTheme="minorHAnsi" w:hAnsiTheme="minorHAnsi" w:cstheme="minorBidi"/>
              </w:rPr>
            </w:pPr>
            <w:r w:rsidRPr="454B8703">
              <w:rPr>
                <w:rFonts w:asciiTheme="minorHAnsi" w:hAnsiTheme="minorHAnsi" w:cstheme="minorBidi"/>
              </w:rPr>
              <w:t xml:space="preserve">Data collection and verification is verified quarterly according to the HRECOS Quality Assurance Project Plan, which is available at </w:t>
            </w:r>
            <w:hyperlink r:id="rId15">
              <w:r w:rsidRPr="454B8703">
                <w:rPr>
                  <w:rStyle w:val="Hyperlink"/>
                  <w:rFonts w:asciiTheme="minorHAnsi" w:hAnsiTheme="minorHAnsi" w:cstheme="minorBidi"/>
                </w:rPr>
                <w:t>www.hrecos.org</w:t>
              </w:r>
              <w:r w:rsidR="33ABBCC1" w:rsidRPr="454B8703">
                <w:rPr>
                  <w:rStyle w:val="Hyperlink"/>
                  <w:rFonts w:asciiTheme="minorHAnsi" w:hAnsiTheme="minorHAnsi" w:cstheme="minorBidi"/>
                </w:rPr>
                <w:t>.</w:t>
              </w:r>
            </w:hyperlink>
            <w:r w:rsidRPr="454B8703">
              <w:rPr>
                <w:rFonts w:asciiTheme="minorHAnsi" w:hAnsiTheme="minorHAnsi" w:cstheme="minorBidi"/>
              </w:rPr>
              <w:t xml:space="preserve"> See following section for comment code definitions.</w:t>
            </w:r>
          </w:p>
        </w:tc>
      </w:tr>
      <w:tr w:rsidR="00CB5895" w:rsidRPr="003026F3" w14:paraId="1BF75721" w14:textId="77777777" w:rsidTr="619A3A90">
        <w:trPr>
          <w:trHeight w:val="13950"/>
        </w:trPr>
        <w:tc>
          <w:tcPr>
            <w:tcW w:w="10878" w:type="dxa"/>
            <w:gridSpan w:val="2"/>
          </w:tcPr>
          <w:p w14:paraId="1BF756EE" w14:textId="77777777" w:rsidR="002E2459" w:rsidRPr="009A3D1E" w:rsidRDefault="002E2459" w:rsidP="009A3D1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3026F3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QAQC Comment Code definitions: </w:t>
            </w:r>
          </w:p>
          <w:p w14:paraId="1BF756EF" w14:textId="77777777" w:rsidR="002E2459" w:rsidRPr="00276679" w:rsidRDefault="002E2459" w:rsidP="002E2459">
            <w:pPr>
              <w:pStyle w:val="Default"/>
              <w:ind w:left="54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General Errors</w:t>
            </w:r>
          </w:p>
          <w:p w14:paraId="1BF756F0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[GIM]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instrument malfunction </w:t>
            </w:r>
          </w:p>
          <w:p w14:paraId="1BF756F1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GIT]   </w:t>
            </w:r>
            <w:proofErr w:type="gramEnd"/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instrument recording error, recovered telemetry data </w:t>
            </w:r>
          </w:p>
          <w:p w14:paraId="1BF756F2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[GMC]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 instrument deployed due to maintenance/calibration </w:t>
            </w:r>
          </w:p>
          <w:p w14:paraId="1BF756F3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GPF] 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End"/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power failure/low battery </w:t>
            </w:r>
          </w:p>
          <w:p w14:paraId="1BF756F4" w14:textId="77777777" w:rsidR="002E2459" w:rsidRPr="00276679" w:rsidRDefault="002E2459" w:rsidP="619A3A90">
            <w:pPr>
              <w:tabs>
                <w:tab w:val="left" w:pos="1620"/>
              </w:tabs>
              <w:ind w:left="720"/>
            </w:pPr>
            <w:r w:rsidRPr="619A3A90">
              <w:t>[</w:t>
            </w:r>
            <w:proofErr w:type="gramStart"/>
            <w:r w:rsidRPr="619A3A90">
              <w:t xml:space="preserve">GQR]   </w:t>
            </w:r>
            <w:proofErr w:type="gramEnd"/>
            <w:r>
              <w:tab/>
            </w:r>
            <w:r w:rsidRPr="619A3A90">
              <w:t>rejected due to QAQC checks</w:t>
            </w:r>
          </w:p>
          <w:p w14:paraId="1BF756F5" w14:textId="77777777" w:rsidR="002E2459" w:rsidRPr="00276679" w:rsidRDefault="002E2459" w:rsidP="619A3A90">
            <w:pPr>
              <w:tabs>
                <w:tab w:val="left" w:pos="1620"/>
              </w:tabs>
              <w:ind w:left="720"/>
            </w:pPr>
            <w:r w:rsidRPr="619A3A90">
              <w:t xml:space="preserve">[GSM] </w:t>
            </w:r>
            <w:r>
              <w:tab/>
            </w:r>
            <w:r w:rsidRPr="619A3A90">
              <w:t xml:space="preserve">see metadata </w:t>
            </w:r>
          </w:p>
          <w:p w14:paraId="1BF756F6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[GIC]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 instrument deployed due to ice </w:t>
            </w:r>
          </w:p>
          <w:p w14:paraId="1BF756F7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[GNF]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deployment tube clogged/no flow </w:t>
            </w:r>
          </w:p>
          <w:p w14:paraId="1BF756F9" w14:textId="4B928B90" w:rsidR="00193302" w:rsidRPr="00276679" w:rsidRDefault="002E2459" w:rsidP="619A3A90">
            <w:pPr>
              <w:tabs>
                <w:tab w:val="left" w:pos="1620"/>
              </w:tabs>
              <w:ind w:left="720"/>
            </w:pPr>
            <w:r w:rsidRPr="619A3A90">
              <w:t xml:space="preserve">[GOW] </w:t>
            </w:r>
            <w:r w:rsidR="00193302">
              <w:tab/>
            </w:r>
            <w:r w:rsidRPr="619A3A90">
              <w:t>out of water event</w:t>
            </w:r>
          </w:p>
          <w:p w14:paraId="1BF756FA" w14:textId="77777777" w:rsidR="002E2459" w:rsidRPr="00276679" w:rsidRDefault="002E2459" w:rsidP="002E2459">
            <w:pPr>
              <w:pStyle w:val="Default"/>
              <w:ind w:left="54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Sensor Errors </w:t>
            </w:r>
          </w:p>
          <w:p w14:paraId="1BF756FB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[SBO]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blocked optic </w:t>
            </w:r>
          </w:p>
          <w:p w14:paraId="1BF756FC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[STF]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catastrophic temperature sensor failure </w:t>
            </w:r>
          </w:p>
          <w:p w14:paraId="1BF756FD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[SCF]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conductivity sensor failure </w:t>
            </w:r>
          </w:p>
          <w:p w14:paraId="1BF756FE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[SDF]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depth port frozen </w:t>
            </w:r>
          </w:p>
          <w:p w14:paraId="1BF756FF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[SDP]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membrane puncture </w:t>
            </w:r>
          </w:p>
          <w:p w14:paraId="1BF75700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[SDO]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suspect </w:t>
            </w:r>
          </w:p>
          <w:p w14:paraId="1BF75701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[SIC]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incorrect calibration/contaminated standard </w:t>
            </w:r>
          </w:p>
          <w:p w14:paraId="1BF75702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[SNV]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negative value </w:t>
            </w:r>
          </w:p>
          <w:p w14:paraId="1BF75703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[SPC]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post calibration out of range </w:t>
            </w:r>
          </w:p>
          <w:p w14:paraId="1BF75704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[SSD]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drift </w:t>
            </w:r>
          </w:p>
          <w:p w14:paraId="1BF75705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[SSM]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malfunction </w:t>
            </w:r>
          </w:p>
          <w:p w14:paraId="1BF75706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[SOW]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out of water </w:t>
            </w:r>
          </w:p>
          <w:p w14:paraId="1BF75707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[SSR]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removed (not deployed) </w:t>
            </w:r>
          </w:p>
          <w:p w14:paraId="1BF75708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[STS]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turbidity spike </w:t>
            </w:r>
          </w:p>
          <w:p w14:paraId="1BF75709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[SWM]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wiper malfunction/loss </w:t>
            </w:r>
          </w:p>
          <w:p w14:paraId="1BF7570B" w14:textId="7391E80A" w:rsidR="00276679" w:rsidRPr="00276679" w:rsidRDefault="00276679" w:rsidP="619A3A90">
            <w:pPr>
              <w:pStyle w:val="Default"/>
              <w:tabs>
                <w:tab w:val="left" w:pos="1620"/>
              </w:tabs>
              <w:ind w:left="54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BF7570C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Comments </w:t>
            </w:r>
          </w:p>
          <w:p w14:paraId="1BF7570D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(CAB)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algal bloom </w:t>
            </w:r>
          </w:p>
          <w:p w14:paraId="1BF7570E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(CAF)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acceptable calibration/accuracy error of sensor </w:t>
            </w:r>
          </w:p>
          <w:p w14:paraId="1BF7570F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(CAP)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depth sensor in water, affected by atmospheric pressure </w:t>
            </w:r>
          </w:p>
          <w:p w14:paraId="1BF75710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(CBF)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biofouling </w:t>
            </w:r>
          </w:p>
          <w:p w14:paraId="1BF75711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(CCU)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cause unknown </w:t>
            </w:r>
          </w:p>
          <w:p w14:paraId="1BF75712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(CDA)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hypoxia &lt; 28 percent saturation </w:t>
            </w:r>
          </w:p>
          <w:p w14:paraId="1BF75713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(CDB)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disturbed bottom </w:t>
            </w:r>
          </w:p>
          <w:p w14:paraId="1BF75714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(CDF)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data appear to fit conditions </w:t>
            </w:r>
          </w:p>
          <w:p w14:paraId="1BF75715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(CFK)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fish kill </w:t>
            </w:r>
          </w:p>
          <w:p w14:paraId="1BF75716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(CIP)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surface ice present at sample station </w:t>
            </w:r>
          </w:p>
          <w:p w14:paraId="1BF75717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(CLT)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low tide </w:t>
            </w:r>
          </w:p>
          <w:p w14:paraId="1BF75718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(CMC)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 field maintenance/cleaning </w:t>
            </w:r>
          </w:p>
          <w:p w14:paraId="1BF75719" w14:textId="77777777" w:rsidR="002E2459" w:rsidRPr="00276679" w:rsidRDefault="002E2459" w:rsidP="619A3A90">
            <w:pPr>
              <w:ind w:firstLine="720"/>
            </w:pPr>
            <w:r w:rsidRPr="619A3A90">
              <w:t>(</w:t>
            </w:r>
            <w:proofErr w:type="gramStart"/>
            <w:r w:rsidRPr="619A3A90">
              <w:t xml:space="preserve">CMD)   </w:t>
            </w:r>
            <w:proofErr w:type="gramEnd"/>
            <w:r w:rsidRPr="619A3A90">
              <w:t xml:space="preserve">  mud in probe guard</w:t>
            </w:r>
          </w:p>
          <w:p w14:paraId="1BF7571A" w14:textId="77777777" w:rsidR="002E2459" w:rsidRPr="00276679" w:rsidRDefault="002E2459" w:rsidP="619A3A90">
            <w:pPr>
              <w:ind w:firstLine="720"/>
            </w:pPr>
            <w:r w:rsidRPr="619A3A90">
              <w:t xml:space="preserve">(CND) </w:t>
            </w:r>
            <w:r>
              <w:tab/>
            </w:r>
            <w:r w:rsidRPr="619A3A90">
              <w:t xml:space="preserve">   new deployment begins </w:t>
            </w:r>
          </w:p>
          <w:p w14:paraId="1BF7571B" w14:textId="77777777" w:rsidR="002E2459" w:rsidRPr="00276679" w:rsidRDefault="002E2459" w:rsidP="619A3A90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 w:rsidRPr="619A3A90">
              <w:rPr>
                <w:rFonts w:asciiTheme="minorHAnsi" w:hAnsiTheme="minorHAnsi" w:cstheme="minorBidi"/>
                <w:sz w:val="22"/>
                <w:szCs w:val="22"/>
              </w:rPr>
              <w:t xml:space="preserve">(CRE) </w:t>
            </w:r>
            <w:r>
              <w:tab/>
            </w:r>
            <w:r w:rsidRPr="619A3A90">
              <w:rPr>
                <w:rFonts w:asciiTheme="minorHAnsi" w:hAnsiTheme="minorHAnsi" w:cstheme="minorBidi"/>
                <w:sz w:val="22"/>
                <w:szCs w:val="22"/>
              </w:rPr>
              <w:t xml:space="preserve">significant rain event </w:t>
            </w:r>
          </w:p>
          <w:p w14:paraId="1BF7571C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(CSM)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see metadata </w:t>
            </w:r>
          </w:p>
          <w:p w14:paraId="1BF7571D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(CTS)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turbidity spike </w:t>
            </w:r>
          </w:p>
          <w:p w14:paraId="1BF7571E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(CVT)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possible vandalism/tampering </w:t>
            </w:r>
          </w:p>
          <w:p w14:paraId="1BF7571F" w14:textId="77777777" w:rsidR="002E2459" w:rsidRPr="00276679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(CWD)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data collected at wrong depth </w:t>
            </w:r>
          </w:p>
          <w:p w14:paraId="1BF75720" w14:textId="77777777" w:rsidR="002C7D18" w:rsidRPr="002E2459" w:rsidRDefault="002E2459" w:rsidP="00614A9B">
            <w:pPr>
              <w:pStyle w:val="Default"/>
              <w:tabs>
                <w:tab w:val="left" w:pos="1620"/>
              </w:tabs>
              <w:spacing w:after="120"/>
              <w:ind w:left="720"/>
              <w:rPr>
                <w:rFonts w:asciiTheme="minorHAnsi" w:hAnsiTheme="minorHAnsi" w:cstheme="minorHAnsi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(CWE)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>significant weather event</w:t>
            </w:r>
          </w:p>
        </w:tc>
      </w:tr>
    </w:tbl>
    <w:p w14:paraId="1BF75722" w14:textId="77777777" w:rsidR="00C1401F" w:rsidRDefault="00C1401F">
      <w:pPr>
        <w:rPr>
          <w:rFonts w:cstheme="minorHAnsi"/>
          <w:sz w:val="24"/>
          <w:szCs w:val="24"/>
        </w:rPr>
        <w:sectPr w:rsidR="00C1401F" w:rsidSect="00997C38">
          <w:headerReference w:type="default" r:id="rId16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144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1620"/>
        <w:gridCol w:w="1530"/>
        <w:gridCol w:w="1350"/>
        <w:gridCol w:w="2880"/>
        <w:gridCol w:w="1620"/>
        <w:gridCol w:w="1440"/>
      </w:tblGrid>
      <w:tr w:rsidR="0035593B" w:rsidRPr="00276679" w14:paraId="1BF7572B" w14:textId="77777777" w:rsidTr="619A3A90">
        <w:trPr>
          <w:trHeight w:val="473"/>
        </w:trPr>
        <w:tc>
          <w:tcPr>
            <w:tcW w:w="1548" w:type="dxa"/>
            <w:vAlign w:val="center"/>
          </w:tcPr>
          <w:p w14:paraId="1BF75723" w14:textId="77777777" w:rsidR="0035593B" w:rsidRPr="00276679" w:rsidRDefault="29BB5A03" w:rsidP="619A3A90">
            <w:pPr>
              <w:jc w:val="center"/>
              <w:rPr>
                <w:sz w:val="20"/>
                <w:szCs w:val="20"/>
                <w:u w:val="single"/>
              </w:rPr>
            </w:pPr>
            <w:r w:rsidRPr="619A3A90">
              <w:rPr>
                <w:sz w:val="20"/>
                <w:szCs w:val="20"/>
                <w:u w:val="single"/>
              </w:rPr>
              <w:lastRenderedPageBreak/>
              <w:t>Parameter</w:t>
            </w:r>
          </w:p>
        </w:tc>
        <w:tc>
          <w:tcPr>
            <w:tcW w:w="1710" w:type="dxa"/>
            <w:vAlign w:val="center"/>
          </w:tcPr>
          <w:p w14:paraId="1BF75724" w14:textId="77777777" w:rsidR="0035593B" w:rsidRPr="00276679" w:rsidRDefault="29BB5A03" w:rsidP="619A3A90">
            <w:pPr>
              <w:jc w:val="center"/>
              <w:rPr>
                <w:sz w:val="20"/>
                <w:szCs w:val="20"/>
                <w:u w:val="single"/>
              </w:rPr>
            </w:pPr>
            <w:r w:rsidRPr="619A3A90">
              <w:rPr>
                <w:sz w:val="20"/>
                <w:szCs w:val="20"/>
                <w:u w:val="single"/>
              </w:rPr>
              <w:t>Units</w:t>
            </w:r>
          </w:p>
        </w:tc>
        <w:tc>
          <w:tcPr>
            <w:tcW w:w="1620" w:type="dxa"/>
            <w:vAlign w:val="center"/>
          </w:tcPr>
          <w:p w14:paraId="1BF75725" w14:textId="77777777" w:rsidR="0035593B" w:rsidRPr="00276679" w:rsidRDefault="29BB5A03" w:rsidP="619A3A90">
            <w:pPr>
              <w:jc w:val="center"/>
              <w:rPr>
                <w:sz w:val="20"/>
                <w:szCs w:val="20"/>
                <w:u w:val="single"/>
              </w:rPr>
            </w:pPr>
            <w:r w:rsidRPr="619A3A90">
              <w:rPr>
                <w:sz w:val="20"/>
                <w:szCs w:val="20"/>
                <w:u w:val="single"/>
              </w:rPr>
              <w:t>Sensor type</w:t>
            </w:r>
          </w:p>
        </w:tc>
        <w:tc>
          <w:tcPr>
            <w:tcW w:w="1530" w:type="dxa"/>
            <w:vAlign w:val="center"/>
          </w:tcPr>
          <w:p w14:paraId="1BF75726" w14:textId="77777777" w:rsidR="0035593B" w:rsidRPr="00276679" w:rsidRDefault="29BB5A03" w:rsidP="619A3A90">
            <w:pPr>
              <w:jc w:val="center"/>
              <w:rPr>
                <w:sz w:val="20"/>
                <w:szCs w:val="20"/>
                <w:u w:val="single"/>
              </w:rPr>
            </w:pPr>
            <w:r w:rsidRPr="619A3A90">
              <w:rPr>
                <w:sz w:val="20"/>
                <w:szCs w:val="20"/>
                <w:u w:val="single"/>
              </w:rPr>
              <w:t>Model</w:t>
            </w:r>
          </w:p>
        </w:tc>
        <w:tc>
          <w:tcPr>
            <w:tcW w:w="1350" w:type="dxa"/>
            <w:vAlign w:val="center"/>
          </w:tcPr>
          <w:p w14:paraId="1BF75727" w14:textId="77777777" w:rsidR="0035593B" w:rsidRPr="00276679" w:rsidRDefault="29BB5A03" w:rsidP="619A3A90">
            <w:pPr>
              <w:jc w:val="center"/>
              <w:rPr>
                <w:sz w:val="20"/>
                <w:szCs w:val="20"/>
                <w:u w:val="single"/>
              </w:rPr>
            </w:pPr>
            <w:r w:rsidRPr="619A3A90">
              <w:rPr>
                <w:sz w:val="20"/>
                <w:szCs w:val="20"/>
                <w:u w:val="single"/>
              </w:rPr>
              <w:t>Range</w:t>
            </w:r>
          </w:p>
        </w:tc>
        <w:tc>
          <w:tcPr>
            <w:tcW w:w="2880" w:type="dxa"/>
            <w:vAlign w:val="center"/>
          </w:tcPr>
          <w:p w14:paraId="1BF75728" w14:textId="77777777" w:rsidR="0035593B" w:rsidRPr="00276679" w:rsidRDefault="29BB5A03" w:rsidP="619A3A90">
            <w:pPr>
              <w:jc w:val="center"/>
              <w:rPr>
                <w:sz w:val="20"/>
                <w:szCs w:val="20"/>
                <w:u w:val="single"/>
              </w:rPr>
            </w:pPr>
            <w:r w:rsidRPr="619A3A90">
              <w:rPr>
                <w:sz w:val="20"/>
                <w:szCs w:val="20"/>
                <w:u w:val="single"/>
              </w:rPr>
              <w:t>Accuracy</w:t>
            </w:r>
          </w:p>
        </w:tc>
        <w:tc>
          <w:tcPr>
            <w:tcW w:w="1620" w:type="dxa"/>
            <w:vAlign w:val="center"/>
          </w:tcPr>
          <w:p w14:paraId="1BF75729" w14:textId="77777777" w:rsidR="0035593B" w:rsidRPr="00276679" w:rsidRDefault="29BB5A03" w:rsidP="619A3A90">
            <w:pPr>
              <w:jc w:val="center"/>
              <w:rPr>
                <w:sz w:val="20"/>
                <w:szCs w:val="20"/>
                <w:u w:val="single"/>
              </w:rPr>
            </w:pPr>
            <w:r w:rsidRPr="619A3A90">
              <w:rPr>
                <w:sz w:val="20"/>
                <w:szCs w:val="20"/>
                <w:u w:val="single"/>
              </w:rPr>
              <w:t>Resolution</w:t>
            </w:r>
          </w:p>
        </w:tc>
        <w:tc>
          <w:tcPr>
            <w:tcW w:w="1440" w:type="dxa"/>
            <w:vAlign w:val="center"/>
          </w:tcPr>
          <w:p w14:paraId="1BF7572A" w14:textId="77777777" w:rsidR="0035593B" w:rsidRPr="00276679" w:rsidRDefault="0139927A" w:rsidP="619A3A90">
            <w:pPr>
              <w:jc w:val="center"/>
              <w:rPr>
                <w:sz w:val="20"/>
                <w:szCs w:val="20"/>
                <w:u w:val="single"/>
              </w:rPr>
            </w:pPr>
            <w:r w:rsidRPr="619A3A90">
              <w:rPr>
                <w:sz w:val="20"/>
                <w:szCs w:val="20"/>
                <w:u w:val="single"/>
              </w:rPr>
              <w:t>Response</w:t>
            </w:r>
          </w:p>
        </w:tc>
      </w:tr>
      <w:tr w:rsidR="0035593B" w:rsidRPr="00276679" w14:paraId="1BF75736" w14:textId="77777777" w:rsidTr="619A3A90">
        <w:trPr>
          <w:trHeight w:val="473"/>
        </w:trPr>
        <w:tc>
          <w:tcPr>
            <w:tcW w:w="1548" w:type="dxa"/>
            <w:vAlign w:val="center"/>
          </w:tcPr>
          <w:p w14:paraId="1BF7572C" w14:textId="77777777" w:rsidR="0035593B" w:rsidRPr="00276679" w:rsidRDefault="29BB5A03" w:rsidP="619A3A90">
            <w:pPr>
              <w:jc w:val="center"/>
              <w:rPr>
                <w:b/>
                <w:bCs/>
                <w:sz w:val="20"/>
                <w:szCs w:val="20"/>
              </w:rPr>
            </w:pPr>
            <w:r w:rsidRPr="619A3A90">
              <w:rPr>
                <w:b/>
                <w:bCs/>
                <w:sz w:val="20"/>
                <w:szCs w:val="20"/>
              </w:rPr>
              <w:t>Acidity</w:t>
            </w:r>
          </w:p>
        </w:tc>
        <w:tc>
          <w:tcPr>
            <w:tcW w:w="1710" w:type="dxa"/>
            <w:vAlign w:val="center"/>
          </w:tcPr>
          <w:p w14:paraId="1BF7572D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Hydrogen ion concentration (pH)</w:t>
            </w:r>
          </w:p>
        </w:tc>
        <w:tc>
          <w:tcPr>
            <w:tcW w:w="1620" w:type="dxa"/>
            <w:vAlign w:val="center"/>
          </w:tcPr>
          <w:p w14:paraId="1BF7572E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Glass combination electrode</w:t>
            </w:r>
          </w:p>
        </w:tc>
        <w:tc>
          <w:tcPr>
            <w:tcW w:w="1530" w:type="dxa"/>
            <w:vAlign w:val="center"/>
          </w:tcPr>
          <w:p w14:paraId="1BF7572F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599702</w:t>
            </w:r>
          </w:p>
        </w:tc>
        <w:tc>
          <w:tcPr>
            <w:tcW w:w="1350" w:type="dxa"/>
            <w:vAlign w:val="center"/>
          </w:tcPr>
          <w:p w14:paraId="1BF75730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0 – 14 units</w:t>
            </w:r>
          </w:p>
        </w:tc>
        <w:tc>
          <w:tcPr>
            <w:tcW w:w="2880" w:type="dxa"/>
            <w:vAlign w:val="center"/>
          </w:tcPr>
          <w:p w14:paraId="1BF75731" w14:textId="77777777" w:rsidR="000718FC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±0.1 pH units within ±10°C</w:t>
            </w:r>
          </w:p>
          <w:p w14:paraId="1BF75732" w14:textId="77777777" w:rsidR="000718FC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 xml:space="preserve">of calibration </w:t>
            </w:r>
            <w:proofErr w:type="gramStart"/>
            <w:r w:rsidRPr="619A3A90">
              <w:rPr>
                <w:sz w:val="20"/>
                <w:szCs w:val="20"/>
              </w:rPr>
              <w:t>temperature;</w:t>
            </w:r>
            <w:proofErr w:type="gramEnd"/>
          </w:p>
          <w:p w14:paraId="1BF75733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±0.2 pH units for entire temp range</w:t>
            </w:r>
          </w:p>
        </w:tc>
        <w:tc>
          <w:tcPr>
            <w:tcW w:w="1620" w:type="dxa"/>
            <w:vAlign w:val="center"/>
          </w:tcPr>
          <w:p w14:paraId="1BF75734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0.01 units</w:t>
            </w:r>
          </w:p>
        </w:tc>
        <w:tc>
          <w:tcPr>
            <w:tcW w:w="1440" w:type="dxa"/>
            <w:vAlign w:val="center"/>
          </w:tcPr>
          <w:p w14:paraId="1BF75735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T63&lt;3 sec</w:t>
            </w:r>
          </w:p>
        </w:tc>
      </w:tr>
      <w:tr w:rsidR="0035593B" w:rsidRPr="00276679" w14:paraId="1BF75745" w14:textId="77777777" w:rsidTr="619A3A90">
        <w:trPr>
          <w:trHeight w:val="473"/>
        </w:trPr>
        <w:tc>
          <w:tcPr>
            <w:tcW w:w="1548" w:type="dxa"/>
            <w:vAlign w:val="center"/>
          </w:tcPr>
          <w:p w14:paraId="1BF75738" w14:textId="26E67CEE" w:rsidR="000718FC" w:rsidRPr="00276679" w:rsidRDefault="29BB5A03" w:rsidP="619A3A90">
            <w:pPr>
              <w:jc w:val="center"/>
              <w:rPr>
                <w:b/>
                <w:bCs/>
                <w:sz w:val="20"/>
                <w:szCs w:val="20"/>
              </w:rPr>
            </w:pPr>
            <w:r w:rsidRPr="619A3A90">
              <w:rPr>
                <w:b/>
                <w:bCs/>
                <w:sz w:val="20"/>
                <w:szCs w:val="20"/>
              </w:rPr>
              <w:t>Conductivity</w:t>
            </w:r>
          </w:p>
        </w:tc>
        <w:tc>
          <w:tcPr>
            <w:tcW w:w="1710" w:type="dxa"/>
            <w:vAlign w:val="center"/>
          </w:tcPr>
          <w:p w14:paraId="1BF75739" w14:textId="6C032D9C" w:rsidR="0035593B" w:rsidRPr="00276679" w:rsidRDefault="50C2D627" w:rsidP="619A3A90">
            <w:pPr>
              <w:jc w:val="center"/>
              <w:rPr>
                <w:sz w:val="20"/>
                <w:szCs w:val="20"/>
              </w:rPr>
            </w:pPr>
            <w:proofErr w:type="spellStart"/>
            <w:r w:rsidRPr="619A3A90">
              <w:rPr>
                <w:sz w:val="20"/>
                <w:szCs w:val="20"/>
              </w:rPr>
              <w:t>milli</w:t>
            </w:r>
            <w:r w:rsidR="0061770D">
              <w:rPr>
                <w:sz w:val="20"/>
                <w:szCs w:val="20"/>
              </w:rPr>
              <w:t>s</w:t>
            </w:r>
            <w:r w:rsidRPr="619A3A90">
              <w:rPr>
                <w:sz w:val="20"/>
                <w:szCs w:val="20"/>
              </w:rPr>
              <w:t>iemens</w:t>
            </w:r>
            <w:proofErr w:type="spellEnd"/>
            <w:r w:rsidRPr="619A3A90">
              <w:rPr>
                <w:sz w:val="20"/>
                <w:szCs w:val="20"/>
              </w:rPr>
              <w:t xml:space="preserve"> per cm (m</w:t>
            </w:r>
            <w:r w:rsidR="29BB5A03" w:rsidRPr="619A3A90">
              <w:rPr>
                <w:sz w:val="20"/>
                <w:szCs w:val="20"/>
              </w:rPr>
              <w:t>S/cm)</w:t>
            </w:r>
          </w:p>
        </w:tc>
        <w:tc>
          <w:tcPr>
            <w:tcW w:w="1620" w:type="dxa"/>
            <w:vAlign w:val="center"/>
          </w:tcPr>
          <w:p w14:paraId="1BF7573A" w14:textId="77777777" w:rsidR="0035593B" w:rsidRPr="00276679" w:rsidRDefault="0139927A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4-electrode n</w:t>
            </w:r>
            <w:r w:rsidR="29BB5A03" w:rsidRPr="619A3A90">
              <w:rPr>
                <w:sz w:val="20"/>
                <w:szCs w:val="20"/>
              </w:rPr>
              <w:t>ickel</w:t>
            </w:r>
          </w:p>
        </w:tc>
        <w:tc>
          <w:tcPr>
            <w:tcW w:w="1530" w:type="dxa"/>
            <w:vAlign w:val="center"/>
          </w:tcPr>
          <w:p w14:paraId="1BF7573B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599870-01</w:t>
            </w:r>
          </w:p>
        </w:tc>
        <w:tc>
          <w:tcPr>
            <w:tcW w:w="1350" w:type="dxa"/>
            <w:vAlign w:val="center"/>
          </w:tcPr>
          <w:p w14:paraId="1BF7573C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 xml:space="preserve">0 – </w:t>
            </w:r>
            <w:r w:rsidR="50C2D627" w:rsidRPr="619A3A90">
              <w:rPr>
                <w:sz w:val="20"/>
                <w:szCs w:val="20"/>
              </w:rPr>
              <w:t>200 m</w:t>
            </w:r>
            <w:r w:rsidRPr="619A3A90">
              <w:rPr>
                <w:sz w:val="20"/>
                <w:szCs w:val="20"/>
              </w:rPr>
              <w:t>S/cm</w:t>
            </w:r>
          </w:p>
        </w:tc>
        <w:tc>
          <w:tcPr>
            <w:tcW w:w="2880" w:type="dxa"/>
            <w:vAlign w:val="center"/>
          </w:tcPr>
          <w:p w14:paraId="1BF7573D" w14:textId="77777777" w:rsidR="007A12E6" w:rsidRPr="00276679" w:rsidRDefault="0139927A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 xml:space="preserve">0-100 </w:t>
            </w:r>
            <w:r w:rsidR="25990FF1" w:rsidRPr="619A3A90">
              <w:rPr>
                <w:sz w:val="20"/>
                <w:szCs w:val="20"/>
              </w:rPr>
              <w:t>m</w:t>
            </w:r>
            <w:r w:rsidRPr="619A3A90">
              <w:rPr>
                <w:sz w:val="20"/>
                <w:szCs w:val="20"/>
              </w:rPr>
              <w:t>S/cm: ±0.5% of</w:t>
            </w:r>
          </w:p>
          <w:p w14:paraId="1BF7573E" w14:textId="77777777" w:rsidR="007A12E6" w:rsidRPr="00276679" w:rsidRDefault="0139927A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 xml:space="preserve">reading or 0.001 </w:t>
            </w:r>
            <w:r w:rsidR="25990FF1" w:rsidRPr="619A3A90">
              <w:rPr>
                <w:sz w:val="20"/>
                <w:szCs w:val="20"/>
              </w:rPr>
              <w:t>m</w:t>
            </w:r>
            <w:r w:rsidRPr="619A3A90">
              <w:rPr>
                <w:sz w:val="20"/>
                <w:szCs w:val="20"/>
              </w:rPr>
              <w:t>S/cm,</w:t>
            </w:r>
          </w:p>
          <w:p w14:paraId="1BF7573F" w14:textId="77777777" w:rsidR="007A12E6" w:rsidRPr="00276679" w:rsidRDefault="0139927A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 xml:space="preserve">whichever is </w:t>
            </w:r>
            <w:proofErr w:type="gramStart"/>
            <w:r w:rsidRPr="619A3A90">
              <w:rPr>
                <w:sz w:val="20"/>
                <w:szCs w:val="20"/>
              </w:rPr>
              <w:t>greater;</w:t>
            </w:r>
            <w:proofErr w:type="gramEnd"/>
          </w:p>
          <w:p w14:paraId="1BF75740" w14:textId="77777777" w:rsidR="007A12E6" w:rsidRPr="00276679" w:rsidRDefault="0139927A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 xml:space="preserve">100-200 </w:t>
            </w:r>
            <w:r w:rsidR="25990FF1" w:rsidRPr="619A3A90">
              <w:rPr>
                <w:sz w:val="20"/>
                <w:szCs w:val="20"/>
              </w:rPr>
              <w:t>m</w:t>
            </w:r>
            <w:r w:rsidRPr="619A3A90">
              <w:rPr>
                <w:sz w:val="20"/>
                <w:szCs w:val="20"/>
              </w:rPr>
              <w:t>S/cm: ±1% of</w:t>
            </w:r>
          </w:p>
          <w:p w14:paraId="1BF75741" w14:textId="77777777" w:rsidR="0035593B" w:rsidRPr="00276679" w:rsidRDefault="0139927A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reading</w:t>
            </w:r>
          </w:p>
        </w:tc>
        <w:tc>
          <w:tcPr>
            <w:tcW w:w="1620" w:type="dxa"/>
            <w:vAlign w:val="center"/>
          </w:tcPr>
          <w:p w14:paraId="1BF75742" w14:textId="77777777" w:rsidR="007A12E6" w:rsidRPr="00276679" w:rsidRDefault="0139927A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 xml:space="preserve">0.0001 to 0.01 </w:t>
            </w:r>
            <w:r w:rsidR="50C2D627" w:rsidRPr="619A3A90">
              <w:rPr>
                <w:sz w:val="20"/>
                <w:szCs w:val="20"/>
              </w:rPr>
              <w:t>m</w:t>
            </w:r>
            <w:r w:rsidRPr="619A3A90">
              <w:rPr>
                <w:sz w:val="20"/>
                <w:szCs w:val="20"/>
              </w:rPr>
              <w:t>S/cm</w:t>
            </w:r>
          </w:p>
          <w:p w14:paraId="1BF75743" w14:textId="77777777" w:rsidR="0035593B" w:rsidRPr="00276679" w:rsidRDefault="0139927A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range-dependent</w:t>
            </w:r>
          </w:p>
        </w:tc>
        <w:tc>
          <w:tcPr>
            <w:tcW w:w="1440" w:type="dxa"/>
            <w:vAlign w:val="center"/>
          </w:tcPr>
          <w:p w14:paraId="1BF75744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T63&lt;2 sec</w:t>
            </w:r>
          </w:p>
        </w:tc>
      </w:tr>
      <w:tr w:rsidR="0035593B" w:rsidRPr="00276679" w14:paraId="1BF75759" w14:textId="77777777" w:rsidTr="619A3A90">
        <w:trPr>
          <w:trHeight w:val="473"/>
        </w:trPr>
        <w:tc>
          <w:tcPr>
            <w:tcW w:w="1548" w:type="dxa"/>
            <w:vAlign w:val="center"/>
          </w:tcPr>
          <w:p w14:paraId="1BF75746" w14:textId="77777777" w:rsidR="0035593B" w:rsidRPr="00276679" w:rsidRDefault="29BB5A03" w:rsidP="619A3A90">
            <w:pPr>
              <w:jc w:val="center"/>
              <w:rPr>
                <w:b/>
                <w:bCs/>
                <w:sz w:val="20"/>
                <w:szCs w:val="20"/>
              </w:rPr>
            </w:pPr>
            <w:r w:rsidRPr="619A3A90">
              <w:rPr>
                <w:b/>
                <w:bCs/>
                <w:sz w:val="20"/>
                <w:szCs w:val="20"/>
              </w:rPr>
              <w:t>Dissolved oxygen</w:t>
            </w:r>
          </w:p>
        </w:tc>
        <w:tc>
          <w:tcPr>
            <w:tcW w:w="1710" w:type="dxa"/>
            <w:vAlign w:val="center"/>
          </w:tcPr>
          <w:p w14:paraId="1BF75747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Air saturation (%)</w:t>
            </w:r>
          </w:p>
          <w:p w14:paraId="1BF75748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rFonts w:ascii="Symbol" w:eastAsia="Symbol" w:hAnsi="Symbol"/>
                <w:sz w:val="20"/>
                <w:szCs w:val="20"/>
              </w:rPr>
              <w:t>¾¾¾¾</w:t>
            </w:r>
          </w:p>
          <w:p w14:paraId="1BF75749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mg/L</w:t>
            </w:r>
          </w:p>
        </w:tc>
        <w:tc>
          <w:tcPr>
            <w:tcW w:w="1620" w:type="dxa"/>
            <w:vAlign w:val="center"/>
          </w:tcPr>
          <w:p w14:paraId="1BF7574A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 xml:space="preserve">Optical, luminescence lifetime </w:t>
            </w:r>
            <w:r w:rsidR="29BB5A03" w:rsidRPr="619A3A90">
              <w:rPr>
                <w:rFonts w:ascii="Symbol" w:eastAsia="Symbol" w:hAnsi="Symbol"/>
                <w:sz w:val="20"/>
                <w:szCs w:val="20"/>
              </w:rPr>
              <w:t>¾¾¾¾</w:t>
            </w:r>
          </w:p>
          <w:p w14:paraId="1BF7574B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Calculated</w:t>
            </w:r>
          </w:p>
        </w:tc>
        <w:tc>
          <w:tcPr>
            <w:tcW w:w="1530" w:type="dxa"/>
            <w:vAlign w:val="center"/>
          </w:tcPr>
          <w:p w14:paraId="1BF7574C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599100-01</w:t>
            </w:r>
          </w:p>
        </w:tc>
        <w:tc>
          <w:tcPr>
            <w:tcW w:w="1350" w:type="dxa"/>
            <w:vAlign w:val="center"/>
          </w:tcPr>
          <w:p w14:paraId="1BF7574D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0 – 500%</w:t>
            </w:r>
          </w:p>
          <w:p w14:paraId="1BF7574E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rFonts w:ascii="Symbol" w:eastAsia="Symbol" w:hAnsi="Symbol"/>
                <w:sz w:val="20"/>
                <w:szCs w:val="20"/>
              </w:rPr>
              <w:t>¾¾¾¾</w:t>
            </w:r>
          </w:p>
          <w:p w14:paraId="1BF7574F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0 – 50 mg/L</w:t>
            </w:r>
          </w:p>
        </w:tc>
        <w:tc>
          <w:tcPr>
            <w:tcW w:w="2880" w:type="dxa"/>
            <w:vAlign w:val="center"/>
          </w:tcPr>
          <w:p w14:paraId="1BF75750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 xml:space="preserve">0 – 200%: </w:t>
            </w:r>
            <w:r w:rsidRPr="619A3A90">
              <w:rPr>
                <w:rFonts w:ascii="Symbol" w:eastAsia="Symbol" w:hAnsi="Symbol"/>
                <w:sz w:val="20"/>
                <w:szCs w:val="20"/>
              </w:rPr>
              <w:t>±</w:t>
            </w:r>
            <w:r w:rsidRPr="619A3A90">
              <w:rPr>
                <w:sz w:val="20"/>
                <w:szCs w:val="20"/>
              </w:rPr>
              <w:t>1%</w:t>
            </w:r>
          </w:p>
          <w:p w14:paraId="1BF75751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 xml:space="preserve">200 – 500%: </w:t>
            </w:r>
            <w:r w:rsidRPr="619A3A90">
              <w:rPr>
                <w:rFonts w:ascii="Symbol" w:eastAsia="Symbol" w:hAnsi="Symbol"/>
                <w:sz w:val="20"/>
                <w:szCs w:val="20"/>
              </w:rPr>
              <w:t>±</w:t>
            </w:r>
            <w:r w:rsidRPr="619A3A90">
              <w:rPr>
                <w:sz w:val="20"/>
                <w:szCs w:val="20"/>
              </w:rPr>
              <w:t>5%</w:t>
            </w:r>
          </w:p>
          <w:p w14:paraId="1BF75752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rFonts w:ascii="Symbol" w:eastAsia="Symbol" w:hAnsi="Symbol"/>
                <w:sz w:val="20"/>
                <w:szCs w:val="20"/>
              </w:rPr>
              <w:t>¾¾¾¾</w:t>
            </w:r>
          </w:p>
          <w:p w14:paraId="1BF75753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 xml:space="preserve">0 – 20 mg/L: </w:t>
            </w:r>
            <w:r w:rsidRPr="619A3A90">
              <w:rPr>
                <w:rFonts w:ascii="Symbol" w:eastAsia="Symbol" w:hAnsi="Symbol"/>
                <w:sz w:val="20"/>
                <w:szCs w:val="20"/>
              </w:rPr>
              <w:t>±</w:t>
            </w:r>
            <w:r w:rsidRPr="619A3A90">
              <w:rPr>
                <w:sz w:val="20"/>
                <w:szCs w:val="20"/>
              </w:rPr>
              <w:t>0.1 mg/L or 1% (whichever is greater</w:t>
            </w:r>
            <w:proofErr w:type="gramStart"/>
            <w:r w:rsidRPr="619A3A90">
              <w:rPr>
                <w:sz w:val="20"/>
                <w:szCs w:val="20"/>
              </w:rPr>
              <w:t>);</w:t>
            </w:r>
            <w:proofErr w:type="gramEnd"/>
          </w:p>
          <w:p w14:paraId="1BF75754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 xml:space="preserve">20 – 50 mg/L: </w:t>
            </w:r>
            <w:r w:rsidRPr="619A3A90">
              <w:rPr>
                <w:rFonts w:ascii="Symbol" w:eastAsia="Symbol" w:hAnsi="Symbol"/>
                <w:sz w:val="20"/>
                <w:szCs w:val="20"/>
              </w:rPr>
              <w:t>±</w:t>
            </w:r>
            <w:r w:rsidR="2BB908F1" w:rsidRPr="619A3A90">
              <w:rPr>
                <w:sz w:val="20"/>
                <w:szCs w:val="20"/>
              </w:rPr>
              <w:t>-</w:t>
            </w:r>
            <w:r w:rsidRPr="619A3A90">
              <w:rPr>
                <w:sz w:val="20"/>
                <w:szCs w:val="20"/>
              </w:rPr>
              <w:t>5%</w:t>
            </w:r>
          </w:p>
        </w:tc>
        <w:tc>
          <w:tcPr>
            <w:tcW w:w="1620" w:type="dxa"/>
            <w:vAlign w:val="center"/>
          </w:tcPr>
          <w:p w14:paraId="1BF75755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0.1%</w:t>
            </w:r>
          </w:p>
          <w:p w14:paraId="1BF75756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rFonts w:ascii="Symbol" w:eastAsia="Symbol" w:hAnsi="Symbol"/>
                <w:sz w:val="20"/>
                <w:szCs w:val="20"/>
              </w:rPr>
              <w:t>¾¾¾¾</w:t>
            </w:r>
          </w:p>
          <w:p w14:paraId="1BF75757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0.01 mg/L</w:t>
            </w:r>
          </w:p>
        </w:tc>
        <w:tc>
          <w:tcPr>
            <w:tcW w:w="1440" w:type="dxa"/>
            <w:vAlign w:val="center"/>
          </w:tcPr>
          <w:p w14:paraId="1BF75758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T63&lt;5 sec</w:t>
            </w:r>
          </w:p>
        </w:tc>
      </w:tr>
      <w:tr w:rsidR="0035593B" w:rsidRPr="00276679" w14:paraId="1BF75764" w14:textId="77777777" w:rsidTr="619A3A90">
        <w:trPr>
          <w:trHeight w:val="473"/>
        </w:trPr>
        <w:tc>
          <w:tcPr>
            <w:tcW w:w="1548" w:type="dxa"/>
            <w:vAlign w:val="center"/>
          </w:tcPr>
          <w:p w14:paraId="1BF7575A" w14:textId="77777777" w:rsidR="0035593B" w:rsidRPr="00276679" w:rsidRDefault="29BB5A03" w:rsidP="619A3A90">
            <w:pPr>
              <w:jc w:val="center"/>
              <w:rPr>
                <w:b/>
                <w:bCs/>
                <w:sz w:val="20"/>
                <w:szCs w:val="20"/>
              </w:rPr>
            </w:pPr>
            <w:r w:rsidRPr="619A3A90">
              <w:rPr>
                <w:b/>
                <w:bCs/>
                <w:sz w:val="20"/>
                <w:szCs w:val="20"/>
              </w:rPr>
              <w:t>Turbidity</w:t>
            </w:r>
          </w:p>
        </w:tc>
        <w:tc>
          <w:tcPr>
            <w:tcW w:w="1710" w:type="dxa"/>
            <w:vAlign w:val="center"/>
          </w:tcPr>
          <w:p w14:paraId="1BF7575B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proofErr w:type="spellStart"/>
            <w:r w:rsidRPr="619A3A90">
              <w:rPr>
                <w:sz w:val="20"/>
                <w:szCs w:val="20"/>
              </w:rPr>
              <w:t>Formazin</w:t>
            </w:r>
            <w:proofErr w:type="spellEnd"/>
            <w:r w:rsidRPr="619A3A90">
              <w:rPr>
                <w:sz w:val="20"/>
                <w:szCs w:val="20"/>
              </w:rPr>
              <w:t xml:space="preserve"> </w:t>
            </w:r>
            <w:r w:rsidR="29BB5A03" w:rsidRPr="619A3A90">
              <w:rPr>
                <w:sz w:val="20"/>
                <w:szCs w:val="20"/>
              </w:rPr>
              <w:t>Nephelometric Units</w:t>
            </w:r>
            <w:r w:rsidRPr="619A3A90">
              <w:rPr>
                <w:sz w:val="20"/>
                <w:szCs w:val="20"/>
              </w:rPr>
              <w:t xml:space="preserve"> (FN</w:t>
            </w:r>
            <w:r w:rsidR="29BB5A03" w:rsidRPr="619A3A90">
              <w:rPr>
                <w:sz w:val="20"/>
                <w:szCs w:val="20"/>
              </w:rPr>
              <w:t>U)</w:t>
            </w:r>
          </w:p>
        </w:tc>
        <w:tc>
          <w:tcPr>
            <w:tcW w:w="1620" w:type="dxa"/>
            <w:vAlign w:val="center"/>
          </w:tcPr>
          <w:p w14:paraId="1BF7575C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Optical, 90° scatter</w:t>
            </w:r>
          </w:p>
        </w:tc>
        <w:tc>
          <w:tcPr>
            <w:tcW w:w="1530" w:type="dxa"/>
            <w:vAlign w:val="center"/>
          </w:tcPr>
          <w:p w14:paraId="1BF7575D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599101-01</w:t>
            </w:r>
          </w:p>
        </w:tc>
        <w:tc>
          <w:tcPr>
            <w:tcW w:w="1350" w:type="dxa"/>
            <w:vAlign w:val="center"/>
          </w:tcPr>
          <w:p w14:paraId="1BF7575E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0 – 4000 FN</w:t>
            </w:r>
            <w:r w:rsidR="29BB5A03" w:rsidRPr="619A3A90">
              <w:rPr>
                <w:sz w:val="20"/>
                <w:szCs w:val="20"/>
              </w:rPr>
              <w:t>U</w:t>
            </w:r>
          </w:p>
        </w:tc>
        <w:tc>
          <w:tcPr>
            <w:tcW w:w="2880" w:type="dxa"/>
            <w:vAlign w:val="center"/>
          </w:tcPr>
          <w:p w14:paraId="1BF7575F" w14:textId="77777777" w:rsidR="000718FC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0-999 FNU: 0.3 FNU or</w:t>
            </w:r>
          </w:p>
          <w:p w14:paraId="1BF75760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±2% of reading, whichever is greater; 1000-4000 FNU: ±5% of reading</w:t>
            </w:r>
          </w:p>
        </w:tc>
        <w:tc>
          <w:tcPr>
            <w:tcW w:w="1620" w:type="dxa"/>
            <w:vAlign w:val="center"/>
          </w:tcPr>
          <w:p w14:paraId="1BF75761" w14:textId="77777777" w:rsidR="000718FC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0-999 FNU: 0.01 FNU</w:t>
            </w:r>
          </w:p>
          <w:p w14:paraId="1BF75762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1000-4000 FNU: 0.1 FNU</w:t>
            </w:r>
          </w:p>
        </w:tc>
        <w:tc>
          <w:tcPr>
            <w:tcW w:w="1440" w:type="dxa"/>
            <w:vAlign w:val="center"/>
          </w:tcPr>
          <w:p w14:paraId="1BF75763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T63&lt;2 sec</w:t>
            </w:r>
          </w:p>
        </w:tc>
      </w:tr>
      <w:tr w:rsidR="0035593B" w:rsidRPr="00276679" w14:paraId="1BF7576F" w14:textId="77777777" w:rsidTr="619A3A90">
        <w:trPr>
          <w:trHeight w:val="473"/>
        </w:trPr>
        <w:tc>
          <w:tcPr>
            <w:tcW w:w="1548" w:type="dxa"/>
            <w:vAlign w:val="center"/>
          </w:tcPr>
          <w:p w14:paraId="1BF75766" w14:textId="6A23CEC5" w:rsidR="000718FC" w:rsidRPr="00276679" w:rsidRDefault="29BB5A03" w:rsidP="619A3A90">
            <w:pPr>
              <w:jc w:val="center"/>
              <w:rPr>
                <w:b/>
                <w:bCs/>
                <w:sz w:val="20"/>
                <w:szCs w:val="20"/>
              </w:rPr>
            </w:pPr>
            <w:r w:rsidRPr="619A3A90">
              <w:rPr>
                <w:b/>
                <w:bCs/>
                <w:sz w:val="20"/>
                <w:szCs w:val="20"/>
              </w:rPr>
              <w:t>Water temperature</w:t>
            </w:r>
          </w:p>
        </w:tc>
        <w:tc>
          <w:tcPr>
            <w:tcW w:w="1710" w:type="dxa"/>
            <w:vAlign w:val="center"/>
          </w:tcPr>
          <w:p w14:paraId="1BF75767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Celsius (</w:t>
            </w:r>
            <w:r w:rsidRPr="619A3A90">
              <w:rPr>
                <w:rFonts w:ascii="Symbol" w:eastAsia="Symbol" w:hAnsi="Symbol"/>
                <w:sz w:val="20"/>
                <w:szCs w:val="20"/>
              </w:rPr>
              <w:t>°</w:t>
            </w:r>
            <w:r w:rsidRPr="619A3A90">
              <w:rPr>
                <w:sz w:val="20"/>
                <w:szCs w:val="20"/>
              </w:rPr>
              <w:t>C)</w:t>
            </w:r>
          </w:p>
        </w:tc>
        <w:tc>
          <w:tcPr>
            <w:tcW w:w="1620" w:type="dxa"/>
            <w:vAlign w:val="center"/>
          </w:tcPr>
          <w:p w14:paraId="1BF75768" w14:textId="77777777" w:rsidR="0035593B" w:rsidRPr="00276679" w:rsidRDefault="29BB5A03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Thermistor</w:t>
            </w:r>
          </w:p>
        </w:tc>
        <w:tc>
          <w:tcPr>
            <w:tcW w:w="1530" w:type="dxa"/>
            <w:vAlign w:val="center"/>
          </w:tcPr>
          <w:p w14:paraId="1BF75769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599870-01</w:t>
            </w:r>
          </w:p>
        </w:tc>
        <w:tc>
          <w:tcPr>
            <w:tcW w:w="1350" w:type="dxa"/>
            <w:vAlign w:val="center"/>
          </w:tcPr>
          <w:p w14:paraId="1BF7576A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-5 to +50°C</w:t>
            </w:r>
          </w:p>
        </w:tc>
        <w:tc>
          <w:tcPr>
            <w:tcW w:w="2880" w:type="dxa"/>
            <w:vAlign w:val="center"/>
          </w:tcPr>
          <w:p w14:paraId="1BF7576B" w14:textId="77777777" w:rsidR="000718FC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-5 to 35°C: ±0.01°C</w:t>
            </w:r>
          </w:p>
          <w:p w14:paraId="1BF7576C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35 to 50°C: ±0.05°C</w:t>
            </w:r>
          </w:p>
        </w:tc>
        <w:tc>
          <w:tcPr>
            <w:tcW w:w="1620" w:type="dxa"/>
            <w:vAlign w:val="center"/>
          </w:tcPr>
          <w:p w14:paraId="1BF7576D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0.001°C</w:t>
            </w:r>
          </w:p>
        </w:tc>
        <w:tc>
          <w:tcPr>
            <w:tcW w:w="1440" w:type="dxa"/>
            <w:vAlign w:val="center"/>
          </w:tcPr>
          <w:p w14:paraId="1BF7576E" w14:textId="77777777" w:rsidR="0035593B" w:rsidRPr="00276679" w:rsidRDefault="2BB908F1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T63&lt;1 sec</w:t>
            </w:r>
          </w:p>
        </w:tc>
      </w:tr>
      <w:tr w:rsidR="00752BFE" w:rsidRPr="00276679" w14:paraId="1BF7577A" w14:textId="77777777" w:rsidTr="619A3A90">
        <w:trPr>
          <w:trHeight w:val="473"/>
        </w:trPr>
        <w:tc>
          <w:tcPr>
            <w:tcW w:w="1548" w:type="dxa"/>
            <w:vAlign w:val="center"/>
          </w:tcPr>
          <w:p w14:paraId="1BF75770" w14:textId="77777777" w:rsidR="00752BFE" w:rsidRPr="00276679" w:rsidRDefault="00752BFE" w:rsidP="619A3A90">
            <w:pPr>
              <w:jc w:val="center"/>
              <w:rPr>
                <w:b/>
                <w:bCs/>
                <w:sz w:val="20"/>
                <w:szCs w:val="20"/>
              </w:rPr>
            </w:pPr>
            <w:r w:rsidRPr="619A3A90">
              <w:rPr>
                <w:b/>
                <w:bCs/>
                <w:sz w:val="20"/>
                <w:szCs w:val="20"/>
              </w:rPr>
              <w:t xml:space="preserve">Water </w:t>
            </w:r>
          </w:p>
          <w:p w14:paraId="1BF75771" w14:textId="77777777" w:rsidR="00752BFE" w:rsidRPr="00276679" w:rsidRDefault="00752BFE" w:rsidP="619A3A90">
            <w:pPr>
              <w:jc w:val="center"/>
              <w:rPr>
                <w:b/>
                <w:bCs/>
                <w:sz w:val="20"/>
                <w:szCs w:val="20"/>
              </w:rPr>
            </w:pPr>
            <w:r w:rsidRPr="619A3A90">
              <w:rPr>
                <w:b/>
                <w:bCs/>
                <w:sz w:val="20"/>
                <w:szCs w:val="20"/>
              </w:rPr>
              <w:t>depth</w:t>
            </w:r>
          </w:p>
        </w:tc>
        <w:tc>
          <w:tcPr>
            <w:tcW w:w="1710" w:type="dxa"/>
            <w:vAlign w:val="center"/>
          </w:tcPr>
          <w:p w14:paraId="1BF75772" w14:textId="77777777" w:rsidR="00752BFE" w:rsidRPr="00276679" w:rsidRDefault="00752BFE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Meters (m)</w:t>
            </w:r>
          </w:p>
        </w:tc>
        <w:tc>
          <w:tcPr>
            <w:tcW w:w="1620" w:type="dxa"/>
            <w:vAlign w:val="center"/>
          </w:tcPr>
          <w:p w14:paraId="1BF75773" w14:textId="77777777" w:rsidR="00752BFE" w:rsidRPr="00276679" w:rsidRDefault="00752BFE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 xml:space="preserve">Non-vented (depth </w:t>
            </w:r>
            <w:proofErr w:type="gramStart"/>
            <w:r w:rsidRPr="619A3A90">
              <w:rPr>
                <w:sz w:val="20"/>
                <w:szCs w:val="20"/>
              </w:rPr>
              <w:t>auto-corrected</w:t>
            </w:r>
            <w:proofErr w:type="gramEnd"/>
            <w:r w:rsidRPr="619A3A90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1BF75774" w14:textId="77777777" w:rsidR="00752BFE" w:rsidRPr="00276679" w:rsidRDefault="00752BFE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EXO2, integral</w:t>
            </w:r>
          </w:p>
        </w:tc>
        <w:tc>
          <w:tcPr>
            <w:tcW w:w="1350" w:type="dxa"/>
            <w:vAlign w:val="center"/>
          </w:tcPr>
          <w:p w14:paraId="1BF75775" w14:textId="77777777" w:rsidR="00752BFE" w:rsidRPr="00276679" w:rsidRDefault="00752BFE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0 to 100 m</w:t>
            </w:r>
          </w:p>
        </w:tc>
        <w:tc>
          <w:tcPr>
            <w:tcW w:w="2880" w:type="dxa"/>
            <w:vAlign w:val="center"/>
          </w:tcPr>
          <w:p w14:paraId="1BF75776" w14:textId="77777777" w:rsidR="00752BFE" w:rsidRPr="00276679" w:rsidRDefault="00752BFE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±0.04% FS (±0.04 m)</w:t>
            </w:r>
          </w:p>
        </w:tc>
        <w:tc>
          <w:tcPr>
            <w:tcW w:w="1620" w:type="dxa"/>
            <w:vAlign w:val="center"/>
          </w:tcPr>
          <w:p w14:paraId="1BF75777" w14:textId="77777777" w:rsidR="00752BFE" w:rsidRPr="00276679" w:rsidRDefault="00752BFE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0.001 m</w:t>
            </w:r>
          </w:p>
          <w:p w14:paraId="1BF75778" w14:textId="77777777" w:rsidR="00752BFE" w:rsidRPr="00276679" w:rsidRDefault="00752BFE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(</w:t>
            </w:r>
            <w:proofErr w:type="gramStart"/>
            <w:r w:rsidRPr="619A3A90">
              <w:rPr>
                <w:sz w:val="20"/>
                <w:szCs w:val="20"/>
              </w:rPr>
              <w:t>auto</w:t>
            </w:r>
            <w:proofErr w:type="gramEnd"/>
            <w:r w:rsidRPr="619A3A90">
              <w:rPr>
                <w:sz w:val="20"/>
                <w:szCs w:val="20"/>
              </w:rPr>
              <w:t>-ranging)</w:t>
            </w:r>
          </w:p>
        </w:tc>
        <w:tc>
          <w:tcPr>
            <w:tcW w:w="1440" w:type="dxa"/>
            <w:vAlign w:val="center"/>
          </w:tcPr>
          <w:p w14:paraId="1BF75779" w14:textId="77777777" w:rsidR="00752BFE" w:rsidRPr="00276679" w:rsidRDefault="00752BFE" w:rsidP="619A3A90">
            <w:pPr>
              <w:jc w:val="center"/>
              <w:rPr>
                <w:sz w:val="20"/>
                <w:szCs w:val="20"/>
              </w:rPr>
            </w:pPr>
            <w:r w:rsidRPr="619A3A90">
              <w:rPr>
                <w:sz w:val="20"/>
                <w:szCs w:val="20"/>
              </w:rPr>
              <w:t>T63&lt;2 sec</w:t>
            </w:r>
          </w:p>
        </w:tc>
      </w:tr>
    </w:tbl>
    <w:p w14:paraId="1BF7577B" w14:textId="1E8677F8" w:rsidR="006821B3" w:rsidRPr="006902B2" w:rsidRDefault="67DAA223" w:rsidP="619A3A90">
      <w:pPr>
        <w:spacing w:after="0" w:line="240" w:lineRule="auto"/>
        <w:rPr>
          <w:b/>
          <w:bCs/>
          <w:sz w:val="20"/>
          <w:szCs w:val="20"/>
        </w:rPr>
      </w:pPr>
      <w:r w:rsidRPr="619A3A90">
        <w:rPr>
          <w:b/>
          <w:bCs/>
          <w:sz w:val="20"/>
          <w:szCs w:val="20"/>
        </w:rPr>
        <w:t xml:space="preserve">Table 1. YSI EXO2 sensor </w:t>
      </w:r>
      <w:r w:rsidR="00424A9A" w:rsidRPr="619A3A90">
        <w:rPr>
          <w:b/>
          <w:bCs/>
          <w:sz w:val="20"/>
          <w:szCs w:val="20"/>
        </w:rPr>
        <w:t>specifications</w:t>
      </w:r>
      <w:r w:rsidRPr="619A3A90">
        <w:rPr>
          <w:b/>
          <w:bCs/>
          <w:sz w:val="20"/>
          <w:szCs w:val="20"/>
        </w:rPr>
        <w:t>.</w:t>
      </w:r>
      <w:r w:rsidR="00215869">
        <w:rPr>
          <w:b/>
          <w:bCs/>
          <w:sz w:val="20"/>
          <w:szCs w:val="20"/>
        </w:rPr>
        <w:t xml:space="preserve"> Note that </w:t>
      </w:r>
      <w:r w:rsidR="0061770D">
        <w:rPr>
          <w:b/>
          <w:bCs/>
          <w:sz w:val="20"/>
          <w:szCs w:val="20"/>
        </w:rPr>
        <w:t xml:space="preserve">conductivity is measured in </w:t>
      </w:r>
      <w:proofErr w:type="spellStart"/>
      <w:r w:rsidR="0061770D">
        <w:rPr>
          <w:b/>
          <w:bCs/>
          <w:sz w:val="20"/>
          <w:szCs w:val="20"/>
        </w:rPr>
        <w:t>millisiemens</w:t>
      </w:r>
      <w:proofErr w:type="spellEnd"/>
      <w:r w:rsidR="0061770D">
        <w:rPr>
          <w:b/>
          <w:bCs/>
          <w:sz w:val="20"/>
          <w:szCs w:val="20"/>
        </w:rPr>
        <w:t xml:space="preserve">, but data are converted to </w:t>
      </w:r>
      <w:proofErr w:type="spellStart"/>
      <w:r w:rsidR="0061770D">
        <w:rPr>
          <w:b/>
          <w:bCs/>
          <w:sz w:val="20"/>
          <w:szCs w:val="20"/>
        </w:rPr>
        <w:t>microsiemens</w:t>
      </w:r>
      <w:proofErr w:type="spellEnd"/>
      <w:r w:rsidR="0061770D">
        <w:rPr>
          <w:b/>
          <w:bCs/>
          <w:sz w:val="20"/>
          <w:szCs w:val="20"/>
        </w:rPr>
        <w:t>.</w:t>
      </w:r>
    </w:p>
    <w:sectPr w:rsidR="006821B3" w:rsidRPr="006902B2" w:rsidSect="006902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5015" w14:textId="77777777" w:rsidR="006819A8" w:rsidRDefault="006819A8" w:rsidP="0018590C">
      <w:pPr>
        <w:spacing w:after="0" w:line="240" w:lineRule="auto"/>
      </w:pPr>
      <w:r>
        <w:separator/>
      </w:r>
    </w:p>
  </w:endnote>
  <w:endnote w:type="continuationSeparator" w:id="0">
    <w:p w14:paraId="78D036C8" w14:textId="77777777" w:rsidR="006819A8" w:rsidRDefault="006819A8" w:rsidP="001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021F" w14:textId="77777777" w:rsidR="006819A8" w:rsidRDefault="006819A8" w:rsidP="0018590C">
      <w:pPr>
        <w:spacing w:after="0" w:line="240" w:lineRule="auto"/>
      </w:pPr>
      <w:r>
        <w:separator/>
      </w:r>
    </w:p>
  </w:footnote>
  <w:footnote w:type="continuationSeparator" w:id="0">
    <w:p w14:paraId="6E7627B8" w14:textId="77777777" w:rsidR="006819A8" w:rsidRDefault="006819A8" w:rsidP="001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5782" w14:textId="6CD56A14" w:rsidR="0043288E" w:rsidRDefault="0043288E" w:rsidP="0018590C">
    <w:pPr>
      <w:pStyle w:val="Header"/>
      <w:jc w:val="right"/>
    </w:pPr>
    <w:r w:rsidRPr="009A3D1E">
      <w:t xml:space="preserve">Last updated: </w:t>
    </w:r>
    <w:r w:rsidR="00A12D40">
      <w:t>12</w:t>
    </w:r>
    <w:r w:rsidR="002D3E4D">
      <w:t>/</w:t>
    </w:r>
    <w:r w:rsidR="00A12D40">
      <w:t>15</w:t>
    </w:r>
    <w:r w:rsidR="007F60C1">
      <w:t>/2</w:t>
    </w:r>
    <w:r w:rsidR="00A12D4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17F6"/>
    <w:multiLevelType w:val="hybridMultilevel"/>
    <w:tmpl w:val="ECAC3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556DE3"/>
    <w:multiLevelType w:val="hybridMultilevel"/>
    <w:tmpl w:val="D84C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697266">
    <w:abstractNumId w:val="0"/>
  </w:num>
  <w:num w:numId="2" w16cid:durableId="130411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90C"/>
    <w:rsid w:val="00000B65"/>
    <w:rsid w:val="00012FA9"/>
    <w:rsid w:val="00034438"/>
    <w:rsid w:val="00035787"/>
    <w:rsid w:val="0005600F"/>
    <w:rsid w:val="0006042C"/>
    <w:rsid w:val="000718FC"/>
    <w:rsid w:val="0007486F"/>
    <w:rsid w:val="00096509"/>
    <w:rsid w:val="000A05DE"/>
    <w:rsid w:val="000B6265"/>
    <w:rsid w:val="000D0B2E"/>
    <w:rsid w:val="000D1B84"/>
    <w:rsid w:val="000E5B50"/>
    <w:rsid w:val="000F5106"/>
    <w:rsid w:val="00103E64"/>
    <w:rsid w:val="00103EA3"/>
    <w:rsid w:val="0011693F"/>
    <w:rsid w:val="00117C7E"/>
    <w:rsid w:val="0012082B"/>
    <w:rsid w:val="00123330"/>
    <w:rsid w:val="00140D55"/>
    <w:rsid w:val="00147B4C"/>
    <w:rsid w:val="0016226E"/>
    <w:rsid w:val="0016486E"/>
    <w:rsid w:val="0016685A"/>
    <w:rsid w:val="0017024B"/>
    <w:rsid w:val="001777CB"/>
    <w:rsid w:val="0018590C"/>
    <w:rsid w:val="00193302"/>
    <w:rsid w:val="00194DA0"/>
    <w:rsid w:val="001A4B55"/>
    <w:rsid w:val="001B02CF"/>
    <w:rsid w:val="001B2527"/>
    <w:rsid w:val="001B3D46"/>
    <w:rsid w:val="001C75BF"/>
    <w:rsid w:val="001D648B"/>
    <w:rsid w:val="001E2412"/>
    <w:rsid w:val="001E6C1F"/>
    <w:rsid w:val="001E7EAD"/>
    <w:rsid w:val="00200FBC"/>
    <w:rsid w:val="00204096"/>
    <w:rsid w:val="002143ED"/>
    <w:rsid w:val="00215869"/>
    <w:rsid w:val="0022584F"/>
    <w:rsid w:val="002326AF"/>
    <w:rsid w:val="00241B64"/>
    <w:rsid w:val="00245BE7"/>
    <w:rsid w:val="00270CE1"/>
    <w:rsid w:val="0027576E"/>
    <w:rsid w:val="00276679"/>
    <w:rsid w:val="002911D1"/>
    <w:rsid w:val="00291F7B"/>
    <w:rsid w:val="0029299E"/>
    <w:rsid w:val="00293353"/>
    <w:rsid w:val="002976FA"/>
    <w:rsid w:val="002A1A6B"/>
    <w:rsid w:val="002A41E1"/>
    <w:rsid w:val="002B45B7"/>
    <w:rsid w:val="002B76F8"/>
    <w:rsid w:val="002B7C5C"/>
    <w:rsid w:val="002C7D18"/>
    <w:rsid w:val="002D3656"/>
    <w:rsid w:val="002D3E4D"/>
    <w:rsid w:val="002E2459"/>
    <w:rsid w:val="002E3EDE"/>
    <w:rsid w:val="002E4B92"/>
    <w:rsid w:val="002F0AF8"/>
    <w:rsid w:val="002F1601"/>
    <w:rsid w:val="002F1803"/>
    <w:rsid w:val="003026F3"/>
    <w:rsid w:val="003067DE"/>
    <w:rsid w:val="0031264F"/>
    <w:rsid w:val="00342407"/>
    <w:rsid w:val="00354298"/>
    <w:rsid w:val="0035593B"/>
    <w:rsid w:val="00362ECF"/>
    <w:rsid w:val="00382C2E"/>
    <w:rsid w:val="00392EA1"/>
    <w:rsid w:val="003943FD"/>
    <w:rsid w:val="003A5D6D"/>
    <w:rsid w:val="003A7D14"/>
    <w:rsid w:val="003B466D"/>
    <w:rsid w:val="003B7F27"/>
    <w:rsid w:val="003C43CF"/>
    <w:rsid w:val="003C4B96"/>
    <w:rsid w:val="003C75E3"/>
    <w:rsid w:val="003E6966"/>
    <w:rsid w:val="003F6DFD"/>
    <w:rsid w:val="00406823"/>
    <w:rsid w:val="00414E69"/>
    <w:rsid w:val="00424A9A"/>
    <w:rsid w:val="004315D3"/>
    <w:rsid w:val="0043288E"/>
    <w:rsid w:val="00446E21"/>
    <w:rsid w:val="0044785A"/>
    <w:rsid w:val="0046138A"/>
    <w:rsid w:val="004655F8"/>
    <w:rsid w:val="004734E6"/>
    <w:rsid w:val="00485FEC"/>
    <w:rsid w:val="00497371"/>
    <w:rsid w:val="004C2D8D"/>
    <w:rsid w:val="004D36DE"/>
    <w:rsid w:val="004E41C5"/>
    <w:rsid w:val="004F3586"/>
    <w:rsid w:val="00502877"/>
    <w:rsid w:val="00506060"/>
    <w:rsid w:val="0050635B"/>
    <w:rsid w:val="00506A12"/>
    <w:rsid w:val="00547E70"/>
    <w:rsid w:val="0055700C"/>
    <w:rsid w:val="00562D0C"/>
    <w:rsid w:val="0057230A"/>
    <w:rsid w:val="00582A7F"/>
    <w:rsid w:val="005961D1"/>
    <w:rsid w:val="005B4F51"/>
    <w:rsid w:val="005D0AAE"/>
    <w:rsid w:val="00607473"/>
    <w:rsid w:val="00614A9B"/>
    <w:rsid w:val="006151FB"/>
    <w:rsid w:val="0061770D"/>
    <w:rsid w:val="00624F8A"/>
    <w:rsid w:val="0062605A"/>
    <w:rsid w:val="006326BF"/>
    <w:rsid w:val="006346E1"/>
    <w:rsid w:val="006366CB"/>
    <w:rsid w:val="00641A63"/>
    <w:rsid w:val="006579F8"/>
    <w:rsid w:val="0066383E"/>
    <w:rsid w:val="006819A8"/>
    <w:rsid w:val="006821B3"/>
    <w:rsid w:val="006902B2"/>
    <w:rsid w:val="006B2B40"/>
    <w:rsid w:val="006C07D4"/>
    <w:rsid w:val="006E5368"/>
    <w:rsid w:val="006F1692"/>
    <w:rsid w:val="006F73CA"/>
    <w:rsid w:val="006F79C6"/>
    <w:rsid w:val="007019D3"/>
    <w:rsid w:val="00702E7D"/>
    <w:rsid w:val="00703D0B"/>
    <w:rsid w:val="00724F2A"/>
    <w:rsid w:val="00726331"/>
    <w:rsid w:val="00752BFE"/>
    <w:rsid w:val="0075361A"/>
    <w:rsid w:val="00772F40"/>
    <w:rsid w:val="00776AD1"/>
    <w:rsid w:val="0079058A"/>
    <w:rsid w:val="007A12E6"/>
    <w:rsid w:val="007A2B86"/>
    <w:rsid w:val="007B291A"/>
    <w:rsid w:val="007C4398"/>
    <w:rsid w:val="007D4F84"/>
    <w:rsid w:val="007E5551"/>
    <w:rsid w:val="007F60C1"/>
    <w:rsid w:val="008367CD"/>
    <w:rsid w:val="00836CC0"/>
    <w:rsid w:val="00846ACE"/>
    <w:rsid w:val="00857A4D"/>
    <w:rsid w:val="00861994"/>
    <w:rsid w:val="008623E9"/>
    <w:rsid w:val="00867D44"/>
    <w:rsid w:val="00885852"/>
    <w:rsid w:val="00892E34"/>
    <w:rsid w:val="00894B7A"/>
    <w:rsid w:val="008A2C5D"/>
    <w:rsid w:val="008A455E"/>
    <w:rsid w:val="008B7E10"/>
    <w:rsid w:val="008C6546"/>
    <w:rsid w:val="008D2128"/>
    <w:rsid w:val="008E5645"/>
    <w:rsid w:val="008F6CB4"/>
    <w:rsid w:val="00913AC9"/>
    <w:rsid w:val="009446C1"/>
    <w:rsid w:val="00952914"/>
    <w:rsid w:val="00967779"/>
    <w:rsid w:val="00967B95"/>
    <w:rsid w:val="00973FD1"/>
    <w:rsid w:val="00975137"/>
    <w:rsid w:val="0098661F"/>
    <w:rsid w:val="00986D63"/>
    <w:rsid w:val="00997C38"/>
    <w:rsid w:val="009A2898"/>
    <w:rsid w:val="009A3D1E"/>
    <w:rsid w:val="009B2253"/>
    <w:rsid w:val="009B3F85"/>
    <w:rsid w:val="009C172E"/>
    <w:rsid w:val="009D24E8"/>
    <w:rsid w:val="009D6291"/>
    <w:rsid w:val="009D788E"/>
    <w:rsid w:val="00A04A1C"/>
    <w:rsid w:val="00A06055"/>
    <w:rsid w:val="00A12D40"/>
    <w:rsid w:val="00A147C6"/>
    <w:rsid w:val="00A23D2A"/>
    <w:rsid w:val="00A27A11"/>
    <w:rsid w:val="00A369E9"/>
    <w:rsid w:val="00A41ED3"/>
    <w:rsid w:val="00A42C2F"/>
    <w:rsid w:val="00A4481B"/>
    <w:rsid w:val="00A51319"/>
    <w:rsid w:val="00A7229E"/>
    <w:rsid w:val="00A826BD"/>
    <w:rsid w:val="00A97278"/>
    <w:rsid w:val="00AD22FE"/>
    <w:rsid w:val="00AE1F0B"/>
    <w:rsid w:val="00AE3E6E"/>
    <w:rsid w:val="00B03B64"/>
    <w:rsid w:val="00B04431"/>
    <w:rsid w:val="00B062CC"/>
    <w:rsid w:val="00B176D1"/>
    <w:rsid w:val="00B21B4F"/>
    <w:rsid w:val="00B43E29"/>
    <w:rsid w:val="00B92513"/>
    <w:rsid w:val="00B93450"/>
    <w:rsid w:val="00B93B57"/>
    <w:rsid w:val="00BA08DD"/>
    <w:rsid w:val="00BA0D96"/>
    <w:rsid w:val="00BA6B41"/>
    <w:rsid w:val="00BB7B19"/>
    <w:rsid w:val="00BC7FD5"/>
    <w:rsid w:val="00BD378C"/>
    <w:rsid w:val="00BD4157"/>
    <w:rsid w:val="00BE6A11"/>
    <w:rsid w:val="00BF2644"/>
    <w:rsid w:val="00BF4192"/>
    <w:rsid w:val="00C1401F"/>
    <w:rsid w:val="00C15716"/>
    <w:rsid w:val="00C22B1F"/>
    <w:rsid w:val="00C24206"/>
    <w:rsid w:val="00C318A6"/>
    <w:rsid w:val="00C52724"/>
    <w:rsid w:val="00C60314"/>
    <w:rsid w:val="00C66766"/>
    <w:rsid w:val="00C706BC"/>
    <w:rsid w:val="00C7168F"/>
    <w:rsid w:val="00C736EF"/>
    <w:rsid w:val="00CA07EA"/>
    <w:rsid w:val="00CB4534"/>
    <w:rsid w:val="00CB5895"/>
    <w:rsid w:val="00CC62ED"/>
    <w:rsid w:val="00CD4838"/>
    <w:rsid w:val="00CE4FEB"/>
    <w:rsid w:val="00D11888"/>
    <w:rsid w:val="00D178F6"/>
    <w:rsid w:val="00D22D29"/>
    <w:rsid w:val="00D67D6E"/>
    <w:rsid w:val="00D724CB"/>
    <w:rsid w:val="00D756A9"/>
    <w:rsid w:val="00D82C81"/>
    <w:rsid w:val="00D84173"/>
    <w:rsid w:val="00D85493"/>
    <w:rsid w:val="00DA5B8A"/>
    <w:rsid w:val="00DB2ADA"/>
    <w:rsid w:val="00DC436A"/>
    <w:rsid w:val="00DD3023"/>
    <w:rsid w:val="00DF38D6"/>
    <w:rsid w:val="00E0062E"/>
    <w:rsid w:val="00E04491"/>
    <w:rsid w:val="00E163D3"/>
    <w:rsid w:val="00E37CE2"/>
    <w:rsid w:val="00E46D14"/>
    <w:rsid w:val="00E53506"/>
    <w:rsid w:val="00E55537"/>
    <w:rsid w:val="00E60EAC"/>
    <w:rsid w:val="00E63716"/>
    <w:rsid w:val="00E734D0"/>
    <w:rsid w:val="00E92389"/>
    <w:rsid w:val="00EA12B1"/>
    <w:rsid w:val="00EA4DF2"/>
    <w:rsid w:val="00EA508A"/>
    <w:rsid w:val="00EA5EC7"/>
    <w:rsid w:val="00EB2518"/>
    <w:rsid w:val="00EB27B7"/>
    <w:rsid w:val="00EB354F"/>
    <w:rsid w:val="00EB7297"/>
    <w:rsid w:val="00EC5B14"/>
    <w:rsid w:val="00EE4CFC"/>
    <w:rsid w:val="00F21C88"/>
    <w:rsid w:val="00F2282F"/>
    <w:rsid w:val="00F24D3D"/>
    <w:rsid w:val="00F30C1A"/>
    <w:rsid w:val="00F33491"/>
    <w:rsid w:val="00F3557D"/>
    <w:rsid w:val="00F518A5"/>
    <w:rsid w:val="00F543A4"/>
    <w:rsid w:val="00F62A00"/>
    <w:rsid w:val="00F71EFA"/>
    <w:rsid w:val="00F7329E"/>
    <w:rsid w:val="00F85F04"/>
    <w:rsid w:val="00F90C36"/>
    <w:rsid w:val="00F91277"/>
    <w:rsid w:val="00F95422"/>
    <w:rsid w:val="00FA207F"/>
    <w:rsid w:val="00FB486C"/>
    <w:rsid w:val="00FC3478"/>
    <w:rsid w:val="00FD0197"/>
    <w:rsid w:val="00FD7884"/>
    <w:rsid w:val="00FE304C"/>
    <w:rsid w:val="00FF2734"/>
    <w:rsid w:val="0139927A"/>
    <w:rsid w:val="031D4444"/>
    <w:rsid w:val="13C727B6"/>
    <w:rsid w:val="16194F13"/>
    <w:rsid w:val="1692617A"/>
    <w:rsid w:val="1C3CE5E4"/>
    <w:rsid w:val="1E67CF1A"/>
    <w:rsid w:val="241A8E0C"/>
    <w:rsid w:val="25990FF1"/>
    <w:rsid w:val="27E3C5F6"/>
    <w:rsid w:val="294AEF8B"/>
    <w:rsid w:val="29BB5A03"/>
    <w:rsid w:val="2BB908F1"/>
    <w:rsid w:val="2EC3A952"/>
    <w:rsid w:val="30091878"/>
    <w:rsid w:val="33ABBCC1"/>
    <w:rsid w:val="3B4C0DB3"/>
    <w:rsid w:val="4055B226"/>
    <w:rsid w:val="410540F9"/>
    <w:rsid w:val="416F8693"/>
    <w:rsid w:val="42E88FE7"/>
    <w:rsid w:val="454B8703"/>
    <w:rsid w:val="4F784D70"/>
    <w:rsid w:val="50C2D627"/>
    <w:rsid w:val="526BA796"/>
    <w:rsid w:val="559C71E2"/>
    <w:rsid w:val="5B66A1AF"/>
    <w:rsid w:val="5D52DEC6"/>
    <w:rsid w:val="5E7A30D7"/>
    <w:rsid w:val="619A3A90"/>
    <w:rsid w:val="67DAA223"/>
    <w:rsid w:val="6CFC71C6"/>
    <w:rsid w:val="6EBC53C1"/>
    <w:rsid w:val="73BEBDE2"/>
    <w:rsid w:val="749B50B6"/>
    <w:rsid w:val="7906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5627"/>
  <w15:docId w15:val="{1C2D8E21-D195-449D-AD86-D485320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0C"/>
  </w:style>
  <w:style w:type="paragraph" w:styleId="Footer">
    <w:name w:val="footer"/>
    <w:basedOn w:val="Normal"/>
    <w:link w:val="FooterChar"/>
    <w:uiPriority w:val="99"/>
    <w:unhideWhenUsed/>
    <w:rsid w:val="0018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0C"/>
  </w:style>
  <w:style w:type="character" w:styleId="Hyperlink">
    <w:name w:val="Hyperlink"/>
    <w:basedOn w:val="DefaultParagraphFont"/>
    <w:uiPriority w:val="99"/>
    <w:unhideWhenUsed/>
    <w:rsid w:val="0012082B"/>
    <w:rPr>
      <w:color w:val="0000FF" w:themeColor="hyperlink"/>
      <w:u w:val="single"/>
    </w:rPr>
  </w:style>
  <w:style w:type="paragraph" w:customStyle="1" w:styleId="Default">
    <w:name w:val="Default"/>
    <w:rsid w:val="001D6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8B7E10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35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6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063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maps/place/43%C2%B002'43.0%22N+75%C2%B004'12.3%22W/@43.0452783,-75.0700833,3139m/data=!3m1!1e3!4m2!3m1!1s0x0:0x0?hl=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maps/place/43%C2%B001'11.1%22N+75%C2%B001'42.5%22W/@43.019758,-75.0290082,19z/data=!3m1!4b1!4m2!3m1!1s0x0:0x0?hl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http://www.hrecos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reco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FE0689EB6A34B8FD0A6FA09E592A5" ma:contentTypeVersion="15" ma:contentTypeDescription="Create a new document." ma:contentTypeScope="" ma:versionID="1131e36d9147cdfe1690a06cf7ff52c9">
  <xsd:schema xmlns:xsd="http://www.w3.org/2001/XMLSchema" xmlns:xs="http://www.w3.org/2001/XMLSchema" xmlns:p="http://schemas.microsoft.com/office/2006/metadata/properties" xmlns:ns2="2f539d1d-92f9-444b-9706-8835d5e7c111" xmlns:ns3="acbbcf92-dd6b-4dba-b147-b92536c78c64" targetNamespace="http://schemas.microsoft.com/office/2006/metadata/properties" ma:root="true" ma:fieldsID="75bd05bc767d95fc37c17974150c1eac" ns2:_="" ns3:_="">
    <xsd:import namespace="2f539d1d-92f9-444b-9706-8835d5e7c111"/>
    <xsd:import namespace="acbbcf92-dd6b-4dba-b147-b92536c78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39d1d-92f9-444b-9706-8835d5e7c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cf92-dd6b-4dba-b147-b92536c78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2993cb-8607-458a-82c2-df068c9291f0}" ma:internalName="TaxCatchAll" ma:showField="CatchAllData" ma:web="acbbcf92-dd6b-4dba-b147-b92536c78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39d1d-92f9-444b-9706-8835d5e7c111">
      <Terms xmlns="http://schemas.microsoft.com/office/infopath/2007/PartnerControls"/>
    </lcf76f155ced4ddcb4097134ff3c332f>
    <TaxCatchAll xmlns="acbbcf92-dd6b-4dba-b147-b92536c78c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DAC07-CC57-4BE2-A0F9-A5AD644DC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39d1d-92f9-444b-9706-8835d5e7c111"/>
    <ds:schemaRef ds:uri="acbbcf92-dd6b-4dba-b147-b92536c78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4E207-C810-4FE9-8D16-4FA0B7EA83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3A91F8-9B5C-431C-BBDC-DD1CA25D0FF2}">
  <ds:schemaRefs>
    <ds:schemaRef ds:uri="http://schemas.microsoft.com/office/2006/metadata/properties"/>
    <ds:schemaRef ds:uri="http://schemas.microsoft.com/office/infopath/2007/PartnerControls"/>
    <ds:schemaRef ds:uri="2f539d1d-92f9-444b-9706-8835d5e7c111"/>
    <ds:schemaRef ds:uri="acbbcf92-dd6b-4dba-b147-b92536c78c64"/>
  </ds:schemaRefs>
</ds:datastoreItem>
</file>

<file path=customXml/itemProps4.xml><?xml version="1.0" encoding="utf-8"?>
<ds:datastoreItem xmlns:ds="http://schemas.openxmlformats.org/officeDocument/2006/customXml" ds:itemID="{EFD4300C-A5F8-47A4-8395-334E8C416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1167</Words>
  <Characters>6655</Characters>
  <Application>Microsoft Office Word</Application>
  <DocSecurity>0</DocSecurity>
  <Lines>55</Lines>
  <Paragraphs>15</Paragraphs>
  <ScaleCrop>false</ScaleCrop>
  <Company>NYSDEC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Flaten, Brittney K (DEC)</cp:lastModifiedBy>
  <cp:revision>101</cp:revision>
  <cp:lastPrinted>2014-05-08T20:38:00Z</cp:lastPrinted>
  <dcterms:created xsi:type="dcterms:W3CDTF">2013-04-04T20:55:00Z</dcterms:created>
  <dcterms:modified xsi:type="dcterms:W3CDTF">2023-12-15T19:20:00Z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0x010100A14FE0689EB6A34B8FD0A6FA09E592A5</vt:lpwstr>
  </property>
  <property fmtid="{D5CDD505-2E9C-101B-9397-08002B2CF9AE}" pid="3" name="MediaServiceImageTags">
    <vt:lpwstr/>
  </property>
</Properties>
</file>